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FB658" w14:textId="77777777" w:rsidR="00FE3A73" w:rsidRDefault="00FE3A73" w:rsidP="00C52AA3">
      <w:pPr>
        <w:pStyle w:val="Titel"/>
      </w:pPr>
    </w:p>
    <w:p w14:paraId="3FC4D486" w14:textId="75F18EC9" w:rsidR="00C52AA3" w:rsidRDefault="00C52AA3" w:rsidP="00C52AA3">
      <w:pPr>
        <w:pStyle w:val="Titel"/>
      </w:pPr>
      <w:r>
        <w:t>Summary Report on the activities of</w:t>
      </w:r>
    </w:p>
    <w:p w14:paraId="7D19F224" w14:textId="77777777" w:rsidR="00C52AA3" w:rsidRPr="006E29DE" w:rsidRDefault="00C52AA3" w:rsidP="00C52AA3">
      <w:pPr>
        <w:jc w:val="center"/>
        <w:rPr>
          <w:b/>
          <w:bCs/>
        </w:rPr>
      </w:pPr>
      <w:r w:rsidRPr="006E29DE">
        <w:rPr>
          <w:b/>
          <w:bCs/>
        </w:rPr>
        <w:t>CCQM WG on Electrochemical Analysis and Classical Chemical Methods</w:t>
      </w:r>
      <w:r>
        <w:rPr>
          <w:b/>
          <w:bCs/>
        </w:rPr>
        <w:t xml:space="preserve"> (EAWG)</w:t>
      </w:r>
    </w:p>
    <w:p w14:paraId="676B4AA2" w14:textId="413C0102" w:rsidR="00C52AA3" w:rsidRDefault="00C52AA3" w:rsidP="00C52AA3">
      <w:pPr>
        <w:jc w:val="center"/>
      </w:pPr>
      <w:r>
        <w:t>in the period 04/202</w:t>
      </w:r>
      <w:r w:rsidR="00005964">
        <w:t>4</w:t>
      </w:r>
      <w:r>
        <w:t xml:space="preserve"> to 03/202</w:t>
      </w:r>
      <w:r w:rsidR="00005964">
        <w:t>5</w:t>
      </w:r>
    </w:p>
    <w:p w14:paraId="1A1B16ED" w14:textId="77777777" w:rsidR="00C52AA3" w:rsidRDefault="00C52AA3" w:rsidP="00C52AA3"/>
    <w:p w14:paraId="1C4B2F0F" w14:textId="77777777" w:rsidR="00C52AA3" w:rsidRDefault="00C52AA3" w:rsidP="00C52AA3">
      <w:pPr>
        <w:spacing w:after="0"/>
      </w:pPr>
      <w:r>
        <w:t>Chair Steffen Seitz</w:t>
      </w:r>
    </w:p>
    <w:p w14:paraId="0B590554" w14:textId="77777777" w:rsidR="00C52AA3" w:rsidRDefault="00C52AA3" w:rsidP="00C52AA3">
      <w:pPr>
        <w:spacing w:after="0"/>
      </w:pPr>
      <w:r>
        <w:t xml:space="preserve">Co-Chair Toshiaki </w:t>
      </w:r>
      <w:proofErr w:type="spellStart"/>
      <w:r>
        <w:t>Asakai</w:t>
      </w:r>
      <w:proofErr w:type="spellEnd"/>
    </w:p>
    <w:p w14:paraId="712E27CD" w14:textId="77777777" w:rsidR="00C52AA3" w:rsidRDefault="00C52AA3" w:rsidP="00C52AA3">
      <w:pPr>
        <w:spacing w:after="0"/>
      </w:pPr>
    </w:p>
    <w:p w14:paraId="47FAA750" w14:textId="77777777" w:rsidR="00FE3A73" w:rsidRDefault="00FE3A73" w:rsidP="00C52AA3">
      <w:pPr>
        <w:spacing w:after="0"/>
      </w:pPr>
    </w:p>
    <w:p w14:paraId="12B9DDD5" w14:textId="77777777" w:rsidR="00C52AA3" w:rsidRDefault="00C52AA3" w:rsidP="00C52AA3">
      <w:pPr>
        <w:pStyle w:val="berschrift1"/>
      </w:pPr>
      <w:r>
        <w:t>EAWG terms of reference</w:t>
      </w:r>
    </w:p>
    <w:p w14:paraId="7F7FFFAE" w14:textId="77777777" w:rsidR="00C52AA3" w:rsidRPr="001E040D" w:rsidRDefault="00C52AA3" w:rsidP="00C52AA3">
      <w:pPr>
        <w:widowControl/>
        <w:tabs>
          <w:tab w:val="clear" w:pos="7088"/>
        </w:tabs>
        <w:spacing w:before="100" w:beforeAutospacing="1" w:after="100" w:afterAutospacing="1"/>
        <w:ind w:left="360"/>
      </w:pPr>
      <w:r w:rsidRPr="001E040D">
        <w:t>To carry out Key Comparisons, and where necessary pilot studies, to critically evaluate and benchmark NMI/DI claimed competences for measurement standards and capabilities for pH, electrolytic conductivity</w:t>
      </w:r>
      <w:r>
        <w:t>,</w:t>
      </w:r>
      <w:r w:rsidRPr="001E040D">
        <w:t xml:space="preserve"> coulometry</w:t>
      </w:r>
      <w:r>
        <w:t xml:space="preserve"> and classical chemical methods.</w:t>
      </w:r>
    </w:p>
    <w:p w14:paraId="6C80A51A" w14:textId="77777777" w:rsidR="00C52AA3" w:rsidRDefault="00C52AA3" w:rsidP="00C52AA3">
      <w:pPr>
        <w:widowControl/>
        <w:tabs>
          <w:tab w:val="clear" w:pos="7088"/>
        </w:tabs>
        <w:spacing w:before="100" w:beforeAutospacing="1" w:after="100" w:afterAutospacing="1"/>
        <w:ind w:left="360"/>
      </w:pPr>
      <w:r w:rsidRPr="001E040D">
        <w:t>To assist in identifying and establishing inter</w:t>
      </w:r>
      <w:r w:rsidRPr="001E040D">
        <w:rPr>
          <w:rFonts w:ascii="Cambria Math" w:hAnsi="Cambria Math" w:cs="Cambria Math"/>
        </w:rPr>
        <w:t>‐</w:t>
      </w:r>
      <w:r w:rsidRPr="001E040D">
        <w:t>laboratory work to improve the SI traceability of electrochemical measurement results.</w:t>
      </w:r>
    </w:p>
    <w:p w14:paraId="4A24560B" w14:textId="77777777" w:rsidR="00FE3A73" w:rsidRPr="001E040D" w:rsidRDefault="00FE3A73" w:rsidP="00C52AA3">
      <w:pPr>
        <w:widowControl/>
        <w:tabs>
          <w:tab w:val="clear" w:pos="7088"/>
        </w:tabs>
        <w:spacing w:before="100" w:beforeAutospacing="1" w:after="100" w:afterAutospacing="1"/>
        <w:ind w:left="360"/>
      </w:pPr>
    </w:p>
    <w:p w14:paraId="0B1CC53C" w14:textId="77777777" w:rsidR="009F6213" w:rsidRPr="009F6213" w:rsidRDefault="009F6213" w:rsidP="00B44717">
      <w:pPr>
        <w:pStyle w:val="berschrift1"/>
      </w:pPr>
      <w:r w:rsidRPr="009F6213">
        <w:t>Meetings</w:t>
      </w:r>
    </w:p>
    <w:p w14:paraId="69C7342F" w14:textId="77777777" w:rsidR="009F6213" w:rsidRPr="009F6213" w:rsidRDefault="009F6213" w:rsidP="00B44717">
      <w:pPr>
        <w:pStyle w:val="berschrift2"/>
      </w:pPr>
      <w:r w:rsidRPr="009F6213">
        <w:t>Meetings</w:t>
      </w:r>
    </w:p>
    <w:p w14:paraId="1A29E16B" w14:textId="24820A52" w:rsidR="009F6213" w:rsidRPr="009F6213" w:rsidRDefault="009F6213" w:rsidP="009F6213">
      <w:pPr>
        <w:spacing w:before="240"/>
      </w:pPr>
      <w:r w:rsidRPr="009F6213">
        <w:t xml:space="preserve">EAWG has held a </w:t>
      </w:r>
      <w:r w:rsidR="00815BA8">
        <w:t>hybrid</w:t>
      </w:r>
      <w:r w:rsidRPr="009F6213">
        <w:t xml:space="preserve"> meeting</w:t>
      </w:r>
      <w:r w:rsidR="00E12439">
        <w:t xml:space="preserve"> at the BIPM</w:t>
      </w:r>
      <w:r w:rsidR="006167DE">
        <w:t xml:space="preserve"> 2</w:t>
      </w:r>
      <w:r w:rsidR="000F3B9E">
        <w:t>2</w:t>
      </w:r>
      <w:r w:rsidRPr="009F6213">
        <w:t xml:space="preserve"> April 202</w:t>
      </w:r>
      <w:r w:rsidR="000F3B9E">
        <w:t>4</w:t>
      </w:r>
      <w:r w:rsidRPr="009F6213">
        <w:t xml:space="preserve"> and a </w:t>
      </w:r>
      <w:r w:rsidR="001C29C4">
        <w:t>two-</w:t>
      </w:r>
      <w:r w:rsidRPr="009F6213">
        <w:t xml:space="preserve">day online meeting </w:t>
      </w:r>
      <w:r w:rsidR="00D91A73">
        <w:t>29</w:t>
      </w:r>
      <w:r w:rsidR="001C29C4">
        <w:t>/</w:t>
      </w:r>
      <w:r w:rsidR="00D91A73">
        <w:t>30</w:t>
      </w:r>
      <w:r w:rsidRPr="009F6213">
        <w:t xml:space="preserve"> October 202</w:t>
      </w:r>
      <w:r w:rsidR="001C29C4">
        <w:t>3</w:t>
      </w:r>
      <w:r w:rsidRPr="009F6213">
        <w:t>. 4</w:t>
      </w:r>
      <w:r w:rsidR="007913DE">
        <w:t>6</w:t>
      </w:r>
      <w:r w:rsidRPr="009F6213">
        <w:t xml:space="preserve"> people from 2</w:t>
      </w:r>
      <w:r w:rsidR="00EB10B9">
        <w:t>7</w:t>
      </w:r>
      <w:r w:rsidRPr="009F6213">
        <w:t xml:space="preserve"> countries have registered to the April meeting and </w:t>
      </w:r>
      <w:r w:rsidR="00650AEA">
        <w:t>4</w:t>
      </w:r>
      <w:r w:rsidR="00EB10B9">
        <w:t>2</w:t>
      </w:r>
      <w:r w:rsidRPr="009F6213">
        <w:t xml:space="preserve"> people from 2</w:t>
      </w:r>
      <w:r w:rsidR="00EB10B9">
        <w:t>7</w:t>
      </w:r>
      <w:r w:rsidRPr="009F6213">
        <w:t xml:space="preserve"> countries have registered to the October meeting. Table 1 shows the number of participating countries with respect to RMOs.</w:t>
      </w:r>
    </w:p>
    <w:tbl>
      <w:tblPr>
        <w:tblW w:w="3828" w:type="dxa"/>
        <w:tblInd w:w="2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980"/>
        <w:gridCol w:w="1488"/>
      </w:tblGrid>
      <w:tr w:rsidR="00CF1A9D" w:rsidRPr="00FE72C2" w14:paraId="2B7E6FC3" w14:textId="77777777" w:rsidTr="006227E9">
        <w:trPr>
          <w:trHeight w:val="315"/>
        </w:trPr>
        <w:tc>
          <w:tcPr>
            <w:tcW w:w="1360" w:type="dxa"/>
            <w:shd w:val="clear" w:color="auto" w:fill="auto"/>
            <w:noWrap/>
            <w:vAlign w:val="center"/>
            <w:hideMark/>
          </w:tcPr>
          <w:p w14:paraId="2F1BAFC7" w14:textId="77777777" w:rsidR="00CF1A9D" w:rsidRPr="00FE72C2" w:rsidRDefault="00CF1A9D" w:rsidP="006227E9">
            <w:pPr>
              <w:widowControl/>
              <w:tabs>
                <w:tab w:val="clear" w:pos="7088"/>
              </w:tabs>
              <w:spacing w:after="0"/>
              <w:ind w:left="0"/>
              <w:jc w:val="center"/>
              <w:rPr>
                <w:rFonts w:ascii="Times New Roman" w:hAnsi="Times New Roman"/>
                <w:snapToGrid/>
                <w:sz w:val="20"/>
                <w:szCs w:val="24"/>
                <w:lang w:val="en-US" w:eastAsia="en-US"/>
              </w:rPr>
            </w:pPr>
          </w:p>
        </w:tc>
        <w:tc>
          <w:tcPr>
            <w:tcW w:w="980" w:type="dxa"/>
            <w:shd w:val="clear" w:color="auto" w:fill="auto"/>
            <w:noWrap/>
            <w:vAlign w:val="center"/>
            <w:hideMark/>
          </w:tcPr>
          <w:p w14:paraId="4C9F71CF" w14:textId="63E04608" w:rsidR="00CF1A9D" w:rsidRPr="00FE72C2" w:rsidRDefault="00CF1A9D"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Apr 2</w:t>
            </w:r>
            <w:r w:rsidR="00BE6E1F">
              <w:rPr>
                <w:rFonts w:cs="Arial"/>
                <w:snapToGrid/>
                <w:sz w:val="20"/>
                <w:lang w:val="en-US" w:eastAsia="en-US"/>
              </w:rPr>
              <w:t>4</w:t>
            </w:r>
          </w:p>
        </w:tc>
        <w:tc>
          <w:tcPr>
            <w:tcW w:w="1488" w:type="dxa"/>
            <w:shd w:val="clear" w:color="auto" w:fill="auto"/>
            <w:noWrap/>
            <w:vAlign w:val="center"/>
            <w:hideMark/>
          </w:tcPr>
          <w:p w14:paraId="1BDDEA9E" w14:textId="3F1E340F" w:rsidR="00CF1A9D" w:rsidRPr="00FE72C2" w:rsidRDefault="00CF1A9D"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Oct 2</w:t>
            </w:r>
            <w:r w:rsidR="00BE6E1F">
              <w:rPr>
                <w:rFonts w:cs="Arial"/>
                <w:snapToGrid/>
                <w:sz w:val="20"/>
                <w:lang w:val="en-US" w:eastAsia="en-US"/>
              </w:rPr>
              <w:t>4</w:t>
            </w:r>
          </w:p>
        </w:tc>
      </w:tr>
      <w:tr w:rsidR="006227E9" w:rsidRPr="00FE72C2" w14:paraId="2AEEF24A" w14:textId="77777777" w:rsidTr="006227E9">
        <w:trPr>
          <w:trHeight w:val="315"/>
        </w:trPr>
        <w:tc>
          <w:tcPr>
            <w:tcW w:w="1360" w:type="dxa"/>
            <w:shd w:val="clear" w:color="auto" w:fill="auto"/>
            <w:noWrap/>
            <w:vAlign w:val="center"/>
            <w:hideMark/>
          </w:tcPr>
          <w:p w14:paraId="2C9266CE" w14:textId="77777777"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EURAMET</w:t>
            </w:r>
          </w:p>
        </w:tc>
        <w:tc>
          <w:tcPr>
            <w:tcW w:w="980" w:type="dxa"/>
            <w:shd w:val="clear" w:color="auto" w:fill="auto"/>
            <w:noWrap/>
            <w:vAlign w:val="center"/>
            <w:hideMark/>
          </w:tcPr>
          <w:p w14:paraId="22CA0CDA" w14:textId="1B9253CC" w:rsidR="006227E9" w:rsidRPr="00FE72C2" w:rsidRDefault="006227E9" w:rsidP="006227E9">
            <w:pPr>
              <w:widowControl/>
              <w:tabs>
                <w:tab w:val="clear" w:pos="7088"/>
              </w:tabs>
              <w:spacing w:after="0"/>
              <w:ind w:left="0"/>
              <w:jc w:val="center"/>
              <w:rPr>
                <w:rFonts w:cs="Arial"/>
                <w:snapToGrid/>
                <w:sz w:val="20"/>
                <w:lang w:val="en-US" w:eastAsia="en-US"/>
              </w:rPr>
            </w:pPr>
            <w:r w:rsidRPr="00054FFC">
              <w:t>12</w:t>
            </w:r>
          </w:p>
        </w:tc>
        <w:tc>
          <w:tcPr>
            <w:tcW w:w="1488" w:type="dxa"/>
            <w:shd w:val="clear" w:color="auto" w:fill="auto"/>
            <w:noWrap/>
            <w:vAlign w:val="center"/>
            <w:hideMark/>
          </w:tcPr>
          <w:p w14:paraId="3C5BDB0A" w14:textId="7F66321E" w:rsidR="006227E9" w:rsidRPr="00FE72C2" w:rsidRDefault="006227E9" w:rsidP="006227E9">
            <w:pPr>
              <w:widowControl/>
              <w:tabs>
                <w:tab w:val="clear" w:pos="7088"/>
              </w:tabs>
              <w:spacing w:after="0"/>
              <w:ind w:left="0"/>
              <w:jc w:val="center"/>
              <w:rPr>
                <w:rFonts w:cs="Arial"/>
                <w:snapToGrid/>
                <w:sz w:val="20"/>
                <w:lang w:val="en-US" w:eastAsia="en-US"/>
              </w:rPr>
            </w:pPr>
            <w:r w:rsidRPr="00054FFC">
              <w:t>11</w:t>
            </w:r>
          </w:p>
        </w:tc>
      </w:tr>
      <w:tr w:rsidR="006227E9" w:rsidRPr="00FE72C2" w14:paraId="56D445C4" w14:textId="77777777" w:rsidTr="006227E9">
        <w:trPr>
          <w:trHeight w:val="315"/>
        </w:trPr>
        <w:tc>
          <w:tcPr>
            <w:tcW w:w="1360" w:type="dxa"/>
            <w:shd w:val="clear" w:color="auto" w:fill="auto"/>
            <w:noWrap/>
            <w:vAlign w:val="center"/>
            <w:hideMark/>
          </w:tcPr>
          <w:p w14:paraId="2BD1CAB0" w14:textId="77777777"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APMP</w:t>
            </w:r>
          </w:p>
        </w:tc>
        <w:tc>
          <w:tcPr>
            <w:tcW w:w="980" w:type="dxa"/>
            <w:shd w:val="clear" w:color="auto" w:fill="auto"/>
            <w:noWrap/>
            <w:vAlign w:val="center"/>
            <w:hideMark/>
          </w:tcPr>
          <w:p w14:paraId="4A3E5887" w14:textId="52EB6AEA" w:rsidR="006227E9" w:rsidRPr="00FE72C2" w:rsidRDefault="006227E9" w:rsidP="006227E9">
            <w:pPr>
              <w:widowControl/>
              <w:tabs>
                <w:tab w:val="clear" w:pos="7088"/>
              </w:tabs>
              <w:spacing w:after="0"/>
              <w:ind w:left="0"/>
              <w:jc w:val="center"/>
              <w:rPr>
                <w:rFonts w:cs="Arial"/>
                <w:snapToGrid/>
                <w:sz w:val="20"/>
                <w:lang w:val="en-US" w:eastAsia="en-US"/>
              </w:rPr>
            </w:pPr>
            <w:r w:rsidRPr="00054FFC">
              <w:t>5</w:t>
            </w:r>
          </w:p>
        </w:tc>
        <w:tc>
          <w:tcPr>
            <w:tcW w:w="1488" w:type="dxa"/>
            <w:shd w:val="clear" w:color="auto" w:fill="auto"/>
            <w:noWrap/>
            <w:vAlign w:val="center"/>
            <w:hideMark/>
          </w:tcPr>
          <w:p w14:paraId="54D6FDD2" w14:textId="1A718414" w:rsidR="006227E9" w:rsidRPr="00FE72C2" w:rsidRDefault="006227E9" w:rsidP="006227E9">
            <w:pPr>
              <w:widowControl/>
              <w:tabs>
                <w:tab w:val="clear" w:pos="7088"/>
              </w:tabs>
              <w:spacing w:after="0"/>
              <w:ind w:left="0"/>
              <w:jc w:val="center"/>
              <w:rPr>
                <w:rFonts w:cs="Arial"/>
                <w:snapToGrid/>
                <w:sz w:val="20"/>
                <w:lang w:val="en-US" w:eastAsia="en-US"/>
              </w:rPr>
            </w:pPr>
            <w:r w:rsidRPr="00054FFC">
              <w:t>5</w:t>
            </w:r>
          </w:p>
        </w:tc>
      </w:tr>
      <w:tr w:rsidR="006227E9" w:rsidRPr="00FE72C2" w14:paraId="556A0B58" w14:textId="77777777" w:rsidTr="006227E9">
        <w:trPr>
          <w:trHeight w:val="315"/>
        </w:trPr>
        <w:tc>
          <w:tcPr>
            <w:tcW w:w="1360" w:type="dxa"/>
            <w:shd w:val="clear" w:color="auto" w:fill="auto"/>
            <w:noWrap/>
            <w:vAlign w:val="center"/>
            <w:hideMark/>
          </w:tcPr>
          <w:p w14:paraId="2885604C" w14:textId="77777777"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SIM</w:t>
            </w:r>
          </w:p>
        </w:tc>
        <w:tc>
          <w:tcPr>
            <w:tcW w:w="980" w:type="dxa"/>
            <w:shd w:val="clear" w:color="auto" w:fill="auto"/>
            <w:noWrap/>
            <w:vAlign w:val="center"/>
            <w:hideMark/>
          </w:tcPr>
          <w:p w14:paraId="730BA809" w14:textId="544D5CA1" w:rsidR="006227E9" w:rsidRPr="00FE72C2" w:rsidRDefault="006227E9" w:rsidP="006227E9">
            <w:pPr>
              <w:widowControl/>
              <w:tabs>
                <w:tab w:val="clear" w:pos="7088"/>
              </w:tabs>
              <w:spacing w:after="0"/>
              <w:ind w:left="0"/>
              <w:jc w:val="center"/>
              <w:rPr>
                <w:rFonts w:cs="Arial"/>
                <w:snapToGrid/>
                <w:sz w:val="20"/>
                <w:lang w:val="en-US" w:eastAsia="en-US"/>
              </w:rPr>
            </w:pPr>
            <w:r w:rsidRPr="00054FFC">
              <w:t>7</w:t>
            </w:r>
          </w:p>
        </w:tc>
        <w:tc>
          <w:tcPr>
            <w:tcW w:w="1488" w:type="dxa"/>
            <w:shd w:val="clear" w:color="auto" w:fill="auto"/>
            <w:noWrap/>
            <w:vAlign w:val="center"/>
            <w:hideMark/>
          </w:tcPr>
          <w:p w14:paraId="213A520A" w14:textId="6A32E94F" w:rsidR="006227E9" w:rsidRPr="00FE72C2" w:rsidRDefault="006227E9" w:rsidP="006227E9">
            <w:pPr>
              <w:widowControl/>
              <w:tabs>
                <w:tab w:val="clear" w:pos="7088"/>
              </w:tabs>
              <w:spacing w:after="0"/>
              <w:ind w:left="0"/>
              <w:jc w:val="center"/>
              <w:rPr>
                <w:rFonts w:cs="Arial"/>
                <w:snapToGrid/>
                <w:sz w:val="20"/>
                <w:lang w:val="en-US" w:eastAsia="en-US"/>
              </w:rPr>
            </w:pPr>
            <w:r w:rsidRPr="00054FFC">
              <w:t>7</w:t>
            </w:r>
          </w:p>
        </w:tc>
      </w:tr>
      <w:tr w:rsidR="006227E9" w:rsidRPr="00FE72C2" w14:paraId="27498027" w14:textId="77777777" w:rsidTr="006227E9">
        <w:trPr>
          <w:trHeight w:val="315"/>
        </w:trPr>
        <w:tc>
          <w:tcPr>
            <w:tcW w:w="1360" w:type="dxa"/>
            <w:shd w:val="clear" w:color="auto" w:fill="auto"/>
            <w:noWrap/>
            <w:vAlign w:val="center"/>
            <w:hideMark/>
          </w:tcPr>
          <w:p w14:paraId="60421445" w14:textId="77777777"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GULF</w:t>
            </w:r>
          </w:p>
        </w:tc>
        <w:tc>
          <w:tcPr>
            <w:tcW w:w="980" w:type="dxa"/>
            <w:shd w:val="clear" w:color="auto" w:fill="auto"/>
            <w:noWrap/>
            <w:vAlign w:val="center"/>
            <w:hideMark/>
          </w:tcPr>
          <w:p w14:paraId="2FB493AD" w14:textId="70509199"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c>
          <w:tcPr>
            <w:tcW w:w="1488" w:type="dxa"/>
            <w:shd w:val="clear" w:color="auto" w:fill="auto"/>
            <w:noWrap/>
            <w:vAlign w:val="center"/>
            <w:hideMark/>
          </w:tcPr>
          <w:p w14:paraId="3D920EAB" w14:textId="24701175"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r>
      <w:tr w:rsidR="006227E9" w:rsidRPr="00FE72C2" w14:paraId="6519BE7C" w14:textId="77777777" w:rsidTr="006227E9">
        <w:trPr>
          <w:trHeight w:val="315"/>
        </w:trPr>
        <w:tc>
          <w:tcPr>
            <w:tcW w:w="1360" w:type="dxa"/>
            <w:shd w:val="clear" w:color="auto" w:fill="auto"/>
            <w:noWrap/>
            <w:vAlign w:val="center"/>
            <w:hideMark/>
          </w:tcPr>
          <w:p w14:paraId="49C61D54" w14:textId="66963BB1"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AFRI</w:t>
            </w:r>
            <w:r>
              <w:rPr>
                <w:rFonts w:cs="Arial"/>
                <w:snapToGrid/>
                <w:sz w:val="20"/>
                <w:lang w:val="en-US" w:eastAsia="en-US"/>
              </w:rPr>
              <w:t>MET</w:t>
            </w:r>
          </w:p>
        </w:tc>
        <w:tc>
          <w:tcPr>
            <w:tcW w:w="980" w:type="dxa"/>
            <w:shd w:val="clear" w:color="auto" w:fill="auto"/>
            <w:noWrap/>
            <w:vAlign w:val="center"/>
            <w:hideMark/>
          </w:tcPr>
          <w:p w14:paraId="0AF120A0" w14:textId="7C4BB664"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c>
          <w:tcPr>
            <w:tcW w:w="1488" w:type="dxa"/>
            <w:shd w:val="clear" w:color="auto" w:fill="auto"/>
            <w:noWrap/>
            <w:vAlign w:val="center"/>
            <w:hideMark/>
          </w:tcPr>
          <w:p w14:paraId="5F7D4DAD" w14:textId="62ABE357"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r>
      <w:tr w:rsidR="006227E9" w:rsidRPr="00FE72C2" w14:paraId="52337C83" w14:textId="77777777" w:rsidTr="006227E9">
        <w:trPr>
          <w:trHeight w:val="315"/>
        </w:trPr>
        <w:tc>
          <w:tcPr>
            <w:tcW w:w="1360" w:type="dxa"/>
            <w:shd w:val="clear" w:color="auto" w:fill="auto"/>
            <w:noWrap/>
            <w:vAlign w:val="center"/>
            <w:hideMark/>
          </w:tcPr>
          <w:p w14:paraId="27AD96AE" w14:textId="77777777" w:rsidR="006227E9" w:rsidRPr="00FE72C2" w:rsidRDefault="006227E9" w:rsidP="006227E9">
            <w:pPr>
              <w:widowControl/>
              <w:tabs>
                <w:tab w:val="clear" w:pos="7088"/>
              </w:tabs>
              <w:spacing w:after="0"/>
              <w:ind w:left="0"/>
              <w:jc w:val="center"/>
              <w:rPr>
                <w:rFonts w:cs="Arial"/>
                <w:snapToGrid/>
                <w:sz w:val="20"/>
                <w:lang w:val="en-US" w:eastAsia="en-US"/>
              </w:rPr>
            </w:pPr>
            <w:r w:rsidRPr="00FE72C2">
              <w:rPr>
                <w:rFonts w:cs="Arial"/>
                <w:snapToGrid/>
                <w:sz w:val="20"/>
                <w:lang w:val="en-US" w:eastAsia="en-US"/>
              </w:rPr>
              <w:t>COOMET</w:t>
            </w:r>
          </w:p>
        </w:tc>
        <w:tc>
          <w:tcPr>
            <w:tcW w:w="980" w:type="dxa"/>
            <w:shd w:val="clear" w:color="auto" w:fill="auto"/>
            <w:noWrap/>
            <w:vAlign w:val="center"/>
            <w:hideMark/>
          </w:tcPr>
          <w:p w14:paraId="76BA76CA" w14:textId="0B9AACDC"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c>
          <w:tcPr>
            <w:tcW w:w="1488" w:type="dxa"/>
            <w:shd w:val="clear" w:color="auto" w:fill="auto"/>
            <w:noWrap/>
            <w:vAlign w:val="center"/>
            <w:hideMark/>
          </w:tcPr>
          <w:p w14:paraId="6A6C277B" w14:textId="64F2352C" w:rsidR="006227E9" w:rsidRPr="00FE72C2" w:rsidRDefault="006227E9" w:rsidP="006227E9">
            <w:pPr>
              <w:widowControl/>
              <w:tabs>
                <w:tab w:val="clear" w:pos="7088"/>
              </w:tabs>
              <w:spacing w:after="0"/>
              <w:ind w:left="0"/>
              <w:jc w:val="center"/>
              <w:rPr>
                <w:rFonts w:cs="Arial"/>
                <w:snapToGrid/>
                <w:sz w:val="20"/>
                <w:lang w:val="en-US" w:eastAsia="en-US"/>
              </w:rPr>
            </w:pPr>
            <w:r w:rsidRPr="00054FFC">
              <w:t>1</w:t>
            </w:r>
          </w:p>
        </w:tc>
      </w:tr>
    </w:tbl>
    <w:p w14:paraId="6C7E29AC" w14:textId="2E4C1F69" w:rsidR="009F6213" w:rsidRPr="009F6213" w:rsidRDefault="009F6213" w:rsidP="009F6213">
      <w:pPr>
        <w:spacing w:before="240"/>
        <w:ind w:left="2268" w:hanging="141"/>
      </w:pPr>
      <w:r w:rsidRPr="009F6213">
        <w:rPr>
          <w:b/>
          <w:bCs/>
        </w:rPr>
        <w:t xml:space="preserve">Table 1 </w:t>
      </w:r>
      <w:r w:rsidRPr="009F6213">
        <w:t>Number of participating countries by region</w:t>
      </w:r>
    </w:p>
    <w:p w14:paraId="3F11949C" w14:textId="0D58DD09" w:rsidR="00FE3A73" w:rsidRDefault="00FE3A73">
      <w:pPr>
        <w:widowControl/>
        <w:tabs>
          <w:tab w:val="clear" w:pos="7088"/>
        </w:tabs>
        <w:spacing w:after="0"/>
        <w:ind w:left="0"/>
      </w:pPr>
      <w:r>
        <w:br w:type="page"/>
      </w:r>
    </w:p>
    <w:p w14:paraId="207EF885" w14:textId="77777777" w:rsidR="009F6213" w:rsidRPr="009F6213" w:rsidRDefault="009F6213" w:rsidP="000F0725">
      <w:pPr>
        <w:pStyle w:val="berschrift1"/>
        <w:ind w:left="0" w:firstLine="0"/>
      </w:pPr>
      <w:r w:rsidRPr="009F6213">
        <w:lastRenderedPageBreak/>
        <w:t>Comparison summary</w:t>
      </w:r>
    </w:p>
    <w:p w14:paraId="4210C39C" w14:textId="77777777" w:rsidR="009F6213" w:rsidRPr="009F6213" w:rsidRDefault="009F6213" w:rsidP="009F6213"/>
    <w:p w14:paraId="182D017B" w14:textId="2A61B4F0" w:rsidR="009F6213" w:rsidRDefault="009F6213" w:rsidP="008A5FD0">
      <w:pPr>
        <w:tabs>
          <w:tab w:val="clear" w:pos="7088"/>
          <w:tab w:val="left" w:pos="3261"/>
        </w:tabs>
        <w:spacing w:after="0"/>
        <w:ind w:left="0"/>
      </w:pPr>
      <w:r w:rsidRPr="009F6213">
        <w:t>Completed</w:t>
      </w:r>
      <w:r w:rsidR="00CA36B3">
        <w:t xml:space="preserve"> in reporting period</w:t>
      </w:r>
      <w:r w:rsidRPr="009F6213">
        <w:tab/>
      </w:r>
      <w:r w:rsidR="00D019FE" w:rsidRPr="009F6213">
        <w:t>K91.2022 (pH of phthalate buffer)</w:t>
      </w:r>
    </w:p>
    <w:p w14:paraId="0BFD9044" w14:textId="77777777" w:rsidR="002916CD" w:rsidRDefault="002916CD" w:rsidP="008A5FD0">
      <w:pPr>
        <w:tabs>
          <w:tab w:val="clear" w:pos="7088"/>
          <w:tab w:val="left" w:pos="3261"/>
        </w:tabs>
        <w:spacing w:after="0"/>
        <w:ind w:left="0"/>
      </w:pPr>
      <w:r w:rsidRPr="009F6213">
        <w:tab/>
        <w:t>K170 (conductivity at 0.5 and 20 S/m)</w:t>
      </w:r>
    </w:p>
    <w:p w14:paraId="7CC6DBC4" w14:textId="77777777" w:rsidR="002916CD" w:rsidRDefault="002916CD" w:rsidP="008A5FD0">
      <w:pPr>
        <w:tabs>
          <w:tab w:val="clear" w:pos="7088"/>
          <w:tab w:val="left" w:pos="3261"/>
        </w:tabs>
        <w:spacing w:after="0"/>
        <w:ind w:left="0"/>
      </w:pPr>
      <w:r w:rsidRPr="009F6213">
        <w:tab/>
        <w:t>K96.</w:t>
      </w:r>
      <w:r>
        <w:t>2023</w:t>
      </w:r>
      <w:r w:rsidRPr="009F6213">
        <w:t xml:space="preserve"> (assay of potassium dichromate)</w:t>
      </w:r>
    </w:p>
    <w:p w14:paraId="269A1681" w14:textId="77777777" w:rsidR="002916CD" w:rsidRDefault="002916CD" w:rsidP="008A5FD0">
      <w:pPr>
        <w:tabs>
          <w:tab w:val="clear" w:pos="7088"/>
          <w:tab w:val="left" w:pos="3261"/>
        </w:tabs>
        <w:spacing w:after="0"/>
        <w:ind w:left="0"/>
      </w:pPr>
      <w:r>
        <w:tab/>
      </w:r>
      <w:r w:rsidRPr="001448C0">
        <w:t>K73.2018.2 (amount content of HCl)</w:t>
      </w:r>
    </w:p>
    <w:p w14:paraId="441DBEDD" w14:textId="08B5E9CC" w:rsidR="002916CD" w:rsidRDefault="002916CD" w:rsidP="008A5FD0">
      <w:pPr>
        <w:tabs>
          <w:tab w:val="clear" w:pos="7088"/>
          <w:tab w:val="left" w:pos="3261"/>
        </w:tabs>
        <w:spacing w:after="0"/>
        <w:ind w:left="0"/>
      </w:pPr>
      <w:r>
        <w:tab/>
        <w:t>K173.1 (</w:t>
      </w:r>
      <w:r w:rsidR="001A7558">
        <w:t>a</w:t>
      </w:r>
      <w:r>
        <w:t>ssay of sodium carbonate)</w:t>
      </w:r>
    </w:p>
    <w:p w14:paraId="7B475101" w14:textId="77777777" w:rsidR="00D019FE" w:rsidRPr="009F6213" w:rsidRDefault="00D019FE" w:rsidP="008A1335">
      <w:pPr>
        <w:tabs>
          <w:tab w:val="clear" w:pos="7088"/>
          <w:tab w:val="left" w:pos="3261"/>
        </w:tabs>
        <w:ind w:left="0"/>
      </w:pPr>
    </w:p>
    <w:p w14:paraId="2E9746AF" w14:textId="65866D22" w:rsidR="009F6213" w:rsidRPr="009F6213" w:rsidRDefault="000B4ED8" w:rsidP="009F6213">
      <w:pPr>
        <w:tabs>
          <w:tab w:val="clear" w:pos="7088"/>
          <w:tab w:val="left" w:pos="3261"/>
        </w:tabs>
        <w:spacing w:after="0"/>
        <w:ind w:left="0"/>
      </w:pPr>
      <w:r>
        <w:t>In progress</w:t>
      </w:r>
      <w:r w:rsidR="009F6213" w:rsidRPr="009F6213">
        <w:tab/>
        <w:t>P221 (pH of seawater)</w:t>
      </w:r>
    </w:p>
    <w:p w14:paraId="402A8CFC" w14:textId="77777777" w:rsidR="009F6213" w:rsidRDefault="009F6213" w:rsidP="001448C0">
      <w:pPr>
        <w:tabs>
          <w:tab w:val="clear" w:pos="7088"/>
          <w:tab w:val="left" w:pos="3261"/>
        </w:tabs>
        <w:spacing w:after="0"/>
        <w:ind w:left="0"/>
      </w:pPr>
      <w:r w:rsidRPr="009F6213">
        <w:tab/>
        <w:t>K169 (assay of sodium oxalate)</w:t>
      </w:r>
    </w:p>
    <w:p w14:paraId="41F962AC" w14:textId="652C39FA" w:rsidR="00273481" w:rsidRPr="009F6213" w:rsidRDefault="00273481" w:rsidP="001448C0">
      <w:pPr>
        <w:tabs>
          <w:tab w:val="clear" w:pos="7088"/>
          <w:tab w:val="left" w:pos="3261"/>
        </w:tabs>
        <w:spacing w:after="0"/>
        <w:ind w:left="0"/>
      </w:pPr>
      <w:r>
        <w:tab/>
        <w:t>P22</w:t>
      </w:r>
      <w:r w:rsidR="002D5A7C">
        <w:t>8</w:t>
      </w:r>
      <w:r>
        <w:t xml:space="preserve"> </w:t>
      </w:r>
      <w:r w:rsidR="001448C0">
        <w:t>Impedance Spectro</w:t>
      </w:r>
      <w:r w:rsidR="002D5A7C">
        <w:t>s</w:t>
      </w:r>
      <w:r w:rsidR="001448C0">
        <w:t>copy</w:t>
      </w:r>
    </w:p>
    <w:p w14:paraId="3A6EC9D4" w14:textId="07ED5F50" w:rsidR="001448C0" w:rsidRDefault="002D5A7C" w:rsidP="009F6213">
      <w:pPr>
        <w:tabs>
          <w:tab w:val="clear" w:pos="7088"/>
          <w:tab w:val="left" w:pos="3261"/>
        </w:tabs>
        <w:spacing w:after="0"/>
        <w:ind w:left="0"/>
      </w:pPr>
      <w:r>
        <w:tab/>
      </w:r>
      <w:r w:rsidRPr="009F6213">
        <w:t>K96.</w:t>
      </w:r>
      <w:r>
        <w:t>2023.1</w:t>
      </w:r>
      <w:r w:rsidRPr="009F6213">
        <w:t xml:space="preserve"> (assay of potassium dichromate)</w:t>
      </w:r>
    </w:p>
    <w:p w14:paraId="5D312614" w14:textId="7623E18F" w:rsidR="00C718E3" w:rsidRDefault="00C718E3" w:rsidP="009F6213">
      <w:pPr>
        <w:tabs>
          <w:tab w:val="clear" w:pos="7088"/>
          <w:tab w:val="left" w:pos="3261"/>
        </w:tabs>
        <w:spacing w:after="0"/>
        <w:ind w:left="0"/>
      </w:pPr>
      <w:r>
        <w:tab/>
        <w:t>EURAMET.QM-</w:t>
      </w:r>
      <w:r w:rsidR="00E718EF">
        <w:t xml:space="preserve">K170 </w:t>
      </w:r>
      <w:r w:rsidR="0070290A" w:rsidRPr="009F6213">
        <w:t>(conductivity at 0.5 and 20 S/m)</w:t>
      </w:r>
    </w:p>
    <w:p w14:paraId="7F5411C2" w14:textId="07CA443E" w:rsidR="00E718EF" w:rsidRDefault="00E718EF" w:rsidP="009F6213">
      <w:pPr>
        <w:tabs>
          <w:tab w:val="clear" w:pos="7088"/>
          <w:tab w:val="left" w:pos="3261"/>
        </w:tabs>
        <w:spacing w:after="0"/>
        <w:ind w:left="0"/>
      </w:pPr>
      <w:r>
        <w:tab/>
        <w:t>EURAMET.QM-K19.2018</w:t>
      </w:r>
      <w:r w:rsidR="0070290A" w:rsidRPr="009F6213">
        <w:t xml:space="preserve"> (pH of borate buffer)</w:t>
      </w:r>
    </w:p>
    <w:p w14:paraId="644ED4B8" w14:textId="04172A9C" w:rsidR="00E718EF" w:rsidRDefault="00E718EF" w:rsidP="009F6213">
      <w:pPr>
        <w:tabs>
          <w:tab w:val="clear" w:pos="7088"/>
          <w:tab w:val="left" w:pos="3261"/>
        </w:tabs>
        <w:spacing w:after="0"/>
        <w:ind w:left="0"/>
      </w:pPr>
      <w:r>
        <w:tab/>
        <w:t>EURAMET.QM-K91.2022</w:t>
      </w:r>
      <w:r w:rsidR="0070290A">
        <w:t xml:space="preserve"> </w:t>
      </w:r>
      <w:r w:rsidR="0070290A" w:rsidRPr="009F6213">
        <w:t>(pH of phthalate buffer)</w:t>
      </w:r>
    </w:p>
    <w:p w14:paraId="737125B9" w14:textId="77777777" w:rsidR="001A7558" w:rsidRDefault="001A7558" w:rsidP="001A7558">
      <w:pPr>
        <w:tabs>
          <w:tab w:val="clear" w:pos="7088"/>
          <w:tab w:val="left" w:pos="3261"/>
        </w:tabs>
        <w:spacing w:after="0"/>
        <w:ind w:left="0"/>
      </w:pPr>
      <w:r>
        <w:tab/>
        <w:t xml:space="preserve">K20.2025 pH of </w:t>
      </w:r>
      <w:proofErr w:type="spellStart"/>
      <w:r>
        <w:t>Tetroxalate</w:t>
      </w:r>
      <w:proofErr w:type="spellEnd"/>
      <w:r>
        <w:t xml:space="preserve"> buffer</w:t>
      </w:r>
    </w:p>
    <w:p w14:paraId="74CB73C5" w14:textId="5A7A542F" w:rsidR="001A7558" w:rsidRDefault="008A5FD0" w:rsidP="001A7558">
      <w:pPr>
        <w:tabs>
          <w:tab w:val="clear" w:pos="7088"/>
          <w:tab w:val="left" w:pos="3261"/>
        </w:tabs>
        <w:spacing w:after="0"/>
        <w:ind w:left="0"/>
      </w:pPr>
      <w:r>
        <w:tab/>
        <w:t>K173.2 (assay of sodium carbonate)</w:t>
      </w:r>
    </w:p>
    <w:p w14:paraId="64B97544" w14:textId="77777777" w:rsidR="005B5DEF" w:rsidRPr="009F6213" w:rsidRDefault="00467FA8" w:rsidP="005B5DEF">
      <w:pPr>
        <w:tabs>
          <w:tab w:val="clear" w:pos="7088"/>
          <w:tab w:val="left" w:pos="3261"/>
        </w:tabs>
        <w:spacing w:after="0"/>
        <w:ind w:left="0"/>
      </w:pPr>
      <w:r>
        <w:tab/>
      </w:r>
      <w:proofErr w:type="spellStart"/>
      <w:r w:rsidR="005B5DEF">
        <w:t>Kxxx</w:t>
      </w:r>
      <w:proofErr w:type="spellEnd"/>
      <w:r w:rsidR="005B5DEF">
        <w:t xml:space="preserve"> assay of EDTA</w:t>
      </w:r>
    </w:p>
    <w:p w14:paraId="6EC5E3BB" w14:textId="77777777" w:rsidR="009B4788" w:rsidRDefault="009B4788" w:rsidP="00F874DE">
      <w:pPr>
        <w:tabs>
          <w:tab w:val="clear" w:pos="7088"/>
          <w:tab w:val="left" w:pos="3261"/>
        </w:tabs>
        <w:ind w:left="0"/>
      </w:pPr>
    </w:p>
    <w:p w14:paraId="45D58F2D" w14:textId="184D7673" w:rsidR="00F874DE" w:rsidRPr="009F6213" w:rsidRDefault="00F874DE" w:rsidP="00F874DE">
      <w:pPr>
        <w:tabs>
          <w:tab w:val="clear" w:pos="7088"/>
          <w:tab w:val="left" w:pos="3261"/>
        </w:tabs>
        <w:ind w:left="0"/>
      </w:pPr>
      <w:r>
        <w:t>Aborted</w:t>
      </w:r>
      <w:r w:rsidRPr="009F6213">
        <w:tab/>
      </w:r>
      <w:r>
        <w:t>none</w:t>
      </w:r>
    </w:p>
    <w:p w14:paraId="40F025CB" w14:textId="7AE2B25B" w:rsidR="009F6213" w:rsidRDefault="009F6213" w:rsidP="009F6213">
      <w:pPr>
        <w:tabs>
          <w:tab w:val="clear" w:pos="7088"/>
          <w:tab w:val="left" w:pos="3261"/>
        </w:tabs>
        <w:spacing w:after="0"/>
        <w:ind w:left="0"/>
      </w:pPr>
    </w:p>
    <w:p w14:paraId="1CA9304C" w14:textId="5E5B5D34" w:rsidR="00D41CF3" w:rsidRDefault="001448C0" w:rsidP="009F6213">
      <w:pPr>
        <w:tabs>
          <w:tab w:val="clear" w:pos="7088"/>
          <w:tab w:val="left" w:pos="3261"/>
        </w:tabs>
        <w:spacing w:after="0"/>
        <w:ind w:left="0"/>
      </w:pPr>
      <w:r w:rsidRPr="009F6213">
        <w:t xml:space="preserve">Request for </w:t>
      </w:r>
      <w:r w:rsidR="00625789">
        <w:t xml:space="preserve">CCQM </w:t>
      </w:r>
      <w:r w:rsidRPr="009F6213">
        <w:t>approval</w:t>
      </w:r>
      <w:r w:rsidR="0070290A">
        <w:tab/>
      </w:r>
      <w:r w:rsidR="000B6AE8">
        <w:t xml:space="preserve">Pilot study </w:t>
      </w:r>
      <w:r w:rsidR="00766222">
        <w:t xml:space="preserve">on </w:t>
      </w:r>
      <w:r w:rsidR="00682CD5">
        <w:t xml:space="preserve">the pH of </w:t>
      </w:r>
      <w:proofErr w:type="gramStart"/>
      <w:r w:rsidR="00682CD5">
        <w:t>Ca(</w:t>
      </w:r>
      <w:proofErr w:type="gramEnd"/>
      <w:r w:rsidR="00682CD5">
        <w:t>OH)</w:t>
      </w:r>
      <w:r w:rsidR="00682CD5" w:rsidRPr="00682CD5">
        <w:rPr>
          <w:vertAlign w:val="subscript"/>
        </w:rPr>
        <w:t>2</w:t>
      </w:r>
      <w:r w:rsidR="00682CD5">
        <w:t xml:space="preserve"> buffers</w:t>
      </w:r>
    </w:p>
    <w:p w14:paraId="7EA2554E" w14:textId="625CAD24" w:rsidR="004A745D" w:rsidRPr="00E01A16" w:rsidRDefault="004A745D" w:rsidP="009F6213">
      <w:pPr>
        <w:tabs>
          <w:tab w:val="clear" w:pos="7088"/>
          <w:tab w:val="left" w:pos="3261"/>
        </w:tabs>
        <w:spacing w:after="0"/>
        <w:ind w:left="0"/>
        <w:rPr>
          <w:vertAlign w:val="subscript"/>
        </w:rPr>
      </w:pPr>
      <w:r>
        <w:tab/>
        <w:t xml:space="preserve">KC on the conductivity of </w:t>
      </w:r>
      <w:proofErr w:type="spellStart"/>
      <w:r>
        <w:t>KCl</w:t>
      </w:r>
      <w:proofErr w:type="spellEnd"/>
      <w:r>
        <w:t xml:space="preserve"> solutions at 0.05 and 5</w:t>
      </w:r>
      <w:r w:rsidR="00E01A16">
        <w:t> S m</w:t>
      </w:r>
      <w:r w:rsidR="00E01A16" w:rsidRPr="00E01A16">
        <w:rPr>
          <w:vertAlign w:val="superscript"/>
        </w:rPr>
        <w:t>-1</w:t>
      </w:r>
    </w:p>
    <w:p w14:paraId="49B241C2" w14:textId="027E97BA" w:rsidR="009F6213" w:rsidRPr="009F6213" w:rsidRDefault="009F6213" w:rsidP="009B4788">
      <w:pPr>
        <w:tabs>
          <w:tab w:val="clear" w:pos="7088"/>
          <w:tab w:val="left" w:pos="3261"/>
        </w:tabs>
        <w:spacing w:before="240"/>
        <w:ind w:left="0"/>
      </w:pPr>
      <w:r w:rsidRPr="009F6213">
        <w:t xml:space="preserve">Up to now, </w:t>
      </w:r>
      <w:r w:rsidR="00366EE2">
        <w:t>68</w:t>
      </w:r>
      <w:r w:rsidRPr="009F6213">
        <w:t xml:space="preserve"> comparisons </w:t>
      </w:r>
      <w:r w:rsidR="00366EE2">
        <w:t>have been conducted by EAWG</w:t>
      </w:r>
      <w:r w:rsidR="00216534">
        <w:t xml:space="preserve">. </w:t>
      </w:r>
      <w:r w:rsidR="000C6946">
        <w:t xml:space="preserve">13 subsequent or supplementary comparisons have been conducted </w:t>
      </w:r>
      <w:r w:rsidR="00216534">
        <w:t xml:space="preserve">by RMOs. </w:t>
      </w:r>
      <w:r w:rsidR="0021402D">
        <w:t>Figure 1</w:t>
      </w:r>
      <w:r w:rsidRPr="009F6213">
        <w:t xml:space="preserve"> summarizes the comparisons by technical areas.</w:t>
      </w:r>
    </w:p>
    <w:p w14:paraId="5691898A" w14:textId="48F5541C" w:rsidR="009F6213" w:rsidRPr="009F6213" w:rsidRDefault="00CF6B4A" w:rsidP="009F6213">
      <w:pPr>
        <w:tabs>
          <w:tab w:val="clear" w:pos="7088"/>
          <w:tab w:val="left" w:pos="3261"/>
        </w:tabs>
        <w:spacing w:before="240"/>
        <w:jc w:val="center"/>
      </w:pPr>
      <w:r>
        <w:rPr>
          <w:noProof/>
          <w:snapToGrid/>
        </w:rPr>
        <w:drawing>
          <wp:inline distT="0" distB="0" distL="0" distR="0" wp14:anchorId="06A89243" wp14:editId="51352904">
            <wp:extent cx="3491560" cy="2830982"/>
            <wp:effectExtent l="0" t="0" r="13970" b="7620"/>
            <wp:docPr id="1258178081" name="Diagramm 1">
              <a:extLst xmlns:a="http://schemas.openxmlformats.org/drawingml/2006/main">
                <a:ext uri="{FF2B5EF4-FFF2-40B4-BE49-F238E27FC236}">
                  <a16:creationId xmlns:a16="http://schemas.microsoft.com/office/drawing/2014/main" id="{5B3073BA-330D-4F8A-843E-859049C99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5659B6" w14:textId="7D87EC68" w:rsidR="009F6213" w:rsidRPr="009F6213" w:rsidRDefault="00E81EFA" w:rsidP="009F6213">
      <w:pPr>
        <w:tabs>
          <w:tab w:val="clear" w:pos="7088"/>
          <w:tab w:val="left" w:pos="3261"/>
        </w:tabs>
        <w:spacing w:before="240"/>
        <w:ind w:left="1985" w:right="1560"/>
      </w:pPr>
      <w:r>
        <w:rPr>
          <w:b/>
          <w:bCs/>
        </w:rPr>
        <w:t>Figure</w:t>
      </w:r>
      <w:r w:rsidR="009F6213" w:rsidRPr="009F6213">
        <w:rPr>
          <w:b/>
          <w:bCs/>
        </w:rPr>
        <w:t xml:space="preserve"> </w:t>
      </w:r>
      <w:r>
        <w:rPr>
          <w:b/>
          <w:bCs/>
        </w:rPr>
        <w:t>1</w:t>
      </w:r>
      <w:r w:rsidR="009F6213" w:rsidRPr="009F6213">
        <w:t xml:space="preserve"> Comparisons by technical areas. </w:t>
      </w:r>
      <w:r w:rsidR="00CF6B4A">
        <w:t>KC</w:t>
      </w:r>
      <w:r w:rsidR="00AC7BAE">
        <w:t>&amp;SC: K</w:t>
      </w:r>
      <w:r w:rsidR="009F6213" w:rsidRPr="009F6213">
        <w:t xml:space="preserve">ey </w:t>
      </w:r>
      <w:r w:rsidR="00AC7BAE">
        <w:t>C</w:t>
      </w:r>
      <w:r w:rsidR="009F6213" w:rsidRPr="009F6213">
        <w:t>omparisons</w:t>
      </w:r>
      <w:r w:rsidR="00AC7BAE">
        <w:t xml:space="preserve"> (including subsequent and linked regional comparisons)</w:t>
      </w:r>
      <w:r w:rsidR="00853DF9">
        <w:t>,</w:t>
      </w:r>
      <w:r w:rsidR="00116C4D">
        <w:t xml:space="preserve"> </w:t>
      </w:r>
      <w:r w:rsidR="00AC7BAE">
        <w:t>S</w:t>
      </w:r>
      <w:r w:rsidR="009F6213" w:rsidRPr="009F6213">
        <w:t xml:space="preserve">upplementary </w:t>
      </w:r>
      <w:r w:rsidR="00AC7BAE">
        <w:t>C</w:t>
      </w:r>
      <w:r w:rsidR="009F6213" w:rsidRPr="009F6213">
        <w:t>omparisons</w:t>
      </w:r>
      <w:r w:rsidR="00AC7BAE">
        <w:t>; PS: P</w:t>
      </w:r>
      <w:r w:rsidR="009F6213" w:rsidRPr="009F6213">
        <w:t xml:space="preserve">ilot </w:t>
      </w:r>
      <w:r w:rsidR="00AC7BAE">
        <w:t>S</w:t>
      </w:r>
      <w:r w:rsidR="009F6213" w:rsidRPr="009F6213">
        <w:t>tudies.</w:t>
      </w:r>
    </w:p>
    <w:p w14:paraId="6E11DFBA" w14:textId="37D08B6E" w:rsidR="00FE3A73" w:rsidRDefault="00FE3A73">
      <w:pPr>
        <w:widowControl/>
        <w:tabs>
          <w:tab w:val="clear" w:pos="7088"/>
        </w:tabs>
        <w:spacing w:after="0"/>
        <w:ind w:left="0"/>
      </w:pPr>
      <w:r>
        <w:br w:type="page"/>
      </w:r>
    </w:p>
    <w:p w14:paraId="5681D2ED" w14:textId="77777777" w:rsidR="00FE3A73" w:rsidRDefault="00FE3A73" w:rsidP="00FE3A73"/>
    <w:p w14:paraId="3D925DD0" w14:textId="5F5D1ABD" w:rsidR="005A6030" w:rsidRPr="00A33C61" w:rsidRDefault="00561260" w:rsidP="005A60C2">
      <w:pPr>
        <w:pStyle w:val="berschrift1"/>
      </w:pPr>
      <w:r>
        <w:t>Status of c</w:t>
      </w:r>
      <w:r w:rsidR="008B578F" w:rsidRPr="00A33C61">
        <w:t>omparisons</w:t>
      </w:r>
      <w:r w:rsidR="000C734C">
        <w:t xml:space="preserve"> in progress</w:t>
      </w:r>
    </w:p>
    <w:p w14:paraId="48FD187A" w14:textId="77777777" w:rsidR="00B21827" w:rsidRPr="00785F7E" w:rsidRDefault="00B21827" w:rsidP="00B21827">
      <w:pPr>
        <w:pStyle w:val="berschrift2"/>
      </w:pPr>
      <w:r w:rsidRPr="00785F7E">
        <w:t>CCQM-K</w:t>
      </w:r>
      <w:r>
        <w:t>170</w:t>
      </w:r>
      <w:r w:rsidRPr="00DB0239">
        <w:t xml:space="preserve"> </w:t>
      </w:r>
      <w:r>
        <w:t>– Conductivity at 0.5 and 20 S m</w:t>
      </w:r>
      <w:r w:rsidRPr="00A77EB2">
        <w:rPr>
          <w:vertAlign w:val="superscript"/>
        </w:rPr>
        <w:t>-1</w:t>
      </w:r>
    </w:p>
    <w:p w14:paraId="30A0DA9C" w14:textId="2A03B3EB" w:rsidR="00B21827" w:rsidRDefault="00B21827" w:rsidP="00B21827">
      <w:pPr>
        <w:ind w:right="-283"/>
      </w:pPr>
      <w:r>
        <w:t>The comparison is a subsequent KC of CCQM-K36.2016 and CCQM-K92. It is intended to provide updated support for respective CMCs. It has been coordinated by NIM China. The results have been intensively discussed by the participants in an online meeting, and in previous EAWG meetings. KCRV estimators have been decided upon. See minutes of the April meeting for more details.</w:t>
      </w:r>
      <w:r w:rsidR="00C91BC5">
        <w:t xml:space="preserve"> </w:t>
      </w:r>
      <w:r w:rsidR="004158EB">
        <w:t>In the meanwhile</w:t>
      </w:r>
      <w:r w:rsidR="000A1909">
        <w:t>, Draft B has been released and approved. The Final report is available at the KCDB and can be used as evidence for CMC approval</w:t>
      </w:r>
      <w:r>
        <w:t>.</w:t>
      </w:r>
    </w:p>
    <w:p w14:paraId="5D1124FC" w14:textId="485C52E1" w:rsidR="00EF0DEC" w:rsidRDefault="00EF0DEC" w:rsidP="00EF0DEC">
      <w:pPr>
        <w:pStyle w:val="berschrift2"/>
      </w:pPr>
      <w:bookmarkStart w:id="0" w:name="_Ref193526597"/>
      <w:r>
        <w:t>CCQM-</w:t>
      </w:r>
      <w:r w:rsidR="00395B41">
        <w:t>P221</w:t>
      </w:r>
      <w:r>
        <w:t xml:space="preserve"> – pH of Tris/(artificial) seawater</w:t>
      </w:r>
      <w:bookmarkEnd w:id="0"/>
    </w:p>
    <w:p w14:paraId="6F583B6F" w14:textId="6473613B" w:rsidR="00F0622F" w:rsidRDefault="00F0622F" w:rsidP="00F0622F">
      <w:r>
        <w:t xml:space="preserve">The comparison is coordinated by NIST with LNE being the co-piloting institute. Two measurands have been measured. Measurand A </w:t>
      </w:r>
      <w:proofErr w:type="spellStart"/>
      <w:r>
        <w:t>was p</w:t>
      </w:r>
      <w:proofErr w:type="spellEnd"/>
      <w:r>
        <w:t>(</w:t>
      </w:r>
      <w:r w:rsidRPr="00C51A70">
        <w:rPr>
          <w:i/>
          <w:iCs/>
        </w:rPr>
        <w:t>a</w:t>
      </w:r>
      <w:r w:rsidRPr="00E42DE8">
        <w:rPr>
          <w:vertAlign w:val="subscript"/>
        </w:rPr>
        <w:t>H</w:t>
      </w:r>
      <w:r w:rsidRPr="00C51A70">
        <w:rPr>
          <w:i/>
          <w:iCs/>
        </w:rPr>
        <w:t>a</w:t>
      </w:r>
      <w:r w:rsidRPr="00E42DE8">
        <w:rPr>
          <w:vertAlign w:val="subscript"/>
        </w:rPr>
        <w:t>Cl</w:t>
      </w:r>
      <w:r>
        <w:t>) of a TRIS-</w:t>
      </w:r>
      <w:proofErr w:type="spellStart"/>
      <w:r>
        <w:t>TRIS.HCl</w:t>
      </w:r>
      <w:proofErr w:type="spellEnd"/>
      <w:r>
        <w:t xml:space="preserve"> buffer in artificial seawater (ASW). Measurand B is the </w:t>
      </w:r>
      <w:proofErr w:type="spellStart"/>
      <w:r>
        <w:t>pH</w:t>
      </w:r>
      <w:r w:rsidRPr="008C7FFB">
        <w:rPr>
          <w:vertAlign w:val="subscript"/>
        </w:rPr>
        <w:t>T</w:t>
      </w:r>
      <w:proofErr w:type="spellEnd"/>
      <w:r>
        <w:t xml:space="preserve"> value of an ASW sample. More detailed information is given in the </w:t>
      </w:r>
      <w:r w:rsidR="00FD1430">
        <w:t>summary report</w:t>
      </w:r>
      <w:r>
        <w:t xml:space="preserve"> of </w:t>
      </w:r>
      <w:r w:rsidR="00FA6987">
        <w:t>April/</w:t>
      </w:r>
      <w:r w:rsidR="00FD1430">
        <w:t>2024</w:t>
      </w:r>
      <w:r>
        <w:t>.</w:t>
      </w:r>
    </w:p>
    <w:p w14:paraId="26ECFF3F" w14:textId="692C546E" w:rsidR="00F0622F" w:rsidRDefault="00153151" w:rsidP="00F0622F">
      <w:r>
        <w:t xml:space="preserve">The report </w:t>
      </w:r>
      <w:r w:rsidR="00F0622F">
        <w:t xml:space="preserve">has been completed </w:t>
      </w:r>
      <w:r w:rsidR="00BC188F">
        <w:t xml:space="preserve">according to the coordinator </w:t>
      </w:r>
      <w:r w:rsidR="00F0622F">
        <w:t xml:space="preserve">and is under internal review at NIST. </w:t>
      </w:r>
      <w:r w:rsidR="00D750F4">
        <w:t>However, the report is overdue since 2023</w:t>
      </w:r>
      <w:r w:rsidR="003E09F9">
        <w:t>. The EAWG has</w:t>
      </w:r>
      <w:r w:rsidR="009418C5">
        <w:t xml:space="preserve"> therefore</w:t>
      </w:r>
      <w:r w:rsidR="003E09F9">
        <w:t xml:space="preserve"> informed the CCQM secretary</w:t>
      </w:r>
      <w:r w:rsidR="0089426E">
        <w:t>, who has contacted NIST</w:t>
      </w:r>
      <w:r w:rsidR="003E09F9">
        <w:t xml:space="preserve">. </w:t>
      </w:r>
      <w:r w:rsidR="0089426E">
        <w:t xml:space="preserve">NIST cannot provide the report </w:t>
      </w:r>
      <w:proofErr w:type="gramStart"/>
      <w:r w:rsidR="0033295B">
        <w:t>in the near future</w:t>
      </w:r>
      <w:proofErr w:type="gramEnd"/>
      <w:r w:rsidR="0033295B">
        <w:t xml:space="preserve"> due to heavy workload. It </w:t>
      </w:r>
      <w:r w:rsidR="0089426E">
        <w:t xml:space="preserve">has </w:t>
      </w:r>
      <w:r w:rsidR="0015164A">
        <w:t xml:space="preserve">however </w:t>
      </w:r>
      <w:r w:rsidR="0089426E">
        <w:t>agreed to provide</w:t>
      </w:r>
      <w:r w:rsidR="00F0622F">
        <w:t xml:space="preserve"> </w:t>
      </w:r>
      <w:r>
        <w:t xml:space="preserve">the report </w:t>
      </w:r>
      <w:r w:rsidR="0015164A">
        <w:t>by</w:t>
      </w:r>
      <w:r w:rsidR="00F0622F">
        <w:t xml:space="preserve"> </w:t>
      </w:r>
      <w:r w:rsidR="0089426E">
        <w:t>September.</w:t>
      </w:r>
    </w:p>
    <w:p w14:paraId="6662FAA7" w14:textId="5D13AC85" w:rsidR="00C07E06" w:rsidRDefault="00D92101" w:rsidP="00987A5F">
      <w:pPr>
        <w:pStyle w:val="berschrift2"/>
      </w:pPr>
      <w:r>
        <w:t>CCQM-</w:t>
      </w:r>
      <w:r w:rsidR="00987A5F">
        <w:t>K169 – Assay of sodium oxal</w:t>
      </w:r>
      <w:r w:rsidR="00A13799">
        <w:t>a</w:t>
      </w:r>
      <w:r w:rsidR="00987A5F">
        <w:t>te</w:t>
      </w:r>
    </w:p>
    <w:p w14:paraId="13393C1E" w14:textId="77777777" w:rsidR="008C797A" w:rsidRDefault="008C797A" w:rsidP="008C797A">
      <w:r>
        <w:t xml:space="preserve">K169 is a joint comparison with IAWG. </w:t>
      </w:r>
      <w:r w:rsidRPr="00B77CAC">
        <w:t xml:space="preserve">Participants that </w:t>
      </w:r>
      <w:r>
        <w:t xml:space="preserve">will </w:t>
      </w:r>
      <w:r w:rsidRPr="00B77CAC">
        <w:t>successfully t</w:t>
      </w:r>
      <w:r>
        <w:t xml:space="preserve">ake </w:t>
      </w:r>
      <w:r w:rsidRPr="00B77CAC">
        <w:t xml:space="preserve">part in the </w:t>
      </w:r>
      <w:r>
        <w:t>KC</w:t>
      </w:r>
      <w:r w:rsidRPr="00B77CAC">
        <w:t xml:space="preserve"> </w:t>
      </w:r>
      <w:r>
        <w:t xml:space="preserve">will </w:t>
      </w:r>
      <w:r w:rsidRPr="00B77CAC">
        <w:t xml:space="preserve">demonstrate their capability to measure the amount </w:t>
      </w:r>
      <w:r>
        <w:t xml:space="preserve">content </w:t>
      </w:r>
      <w:r w:rsidRPr="00B77CAC">
        <w:t>of reductants in high-purity sodium oxalate</w:t>
      </w:r>
      <w:r>
        <w:t xml:space="preserve">. VNIIM-UNIIM is coordinating the comparison. Measurements have been completed. A. Sobina has presented anonymised results. Five NMIs participated in the KC. </w:t>
      </w:r>
    </w:p>
    <w:p w14:paraId="17F565AF" w14:textId="15C40E1D" w:rsidR="009870E2" w:rsidRDefault="008C797A" w:rsidP="008C797A">
      <w:r>
        <w:t>Due to the problems with using permanganate as an oxidant all participants have decided to use cerium to assay sodium oxalate. A. Sobina has shown that various gravimetric and coulometric titration procedures have been used for the measurements. Moreover, it was demanded that the uncertainty budgets must include the contributions specified in the CMC guidelines of EAWG. NIM identified 72 impurities by semi-ICP-MS, with Si, K and NO</w:t>
      </w:r>
      <w:r w:rsidRPr="000353E1">
        <w:rPr>
          <w:vertAlign w:val="subscript"/>
        </w:rPr>
        <w:t>3</w:t>
      </w:r>
      <w:r>
        <w:t xml:space="preserve"> having the largest contribution (</w:t>
      </w:r>
      <w:r>
        <w:sym w:font="Symbol" w:char="F0BB"/>
      </w:r>
      <w:r>
        <w:t xml:space="preserve">10-20 mg/kg). VNIIM-UNIM identified 48 impurities with ICP-MS, with Ca being the largest one (14 mg/kg). The results have been presented as the amount content of reductants expressed as sodium oxalate. It seems that there is a significant overdispersion, since the spread of the results is not covered by the assigned uncertainties for the most part. A. Sobina presented </w:t>
      </w:r>
      <w:proofErr w:type="gramStart"/>
      <w:r>
        <w:t>a number of</w:t>
      </w:r>
      <w:proofErr w:type="gramEnd"/>
      <w:r>
        <w:t xml:space="preserve"> potential KCRV estimators, also including calculations with the NIST decision tree and dark uncertainty. The results and the selection of the best estimator for the KCRV must be discussed in more detailed. Therefore, S. Seitz asked A. Sobina to prepare a Draft A, distribute it among the participants and invite them to an online meeting afterwards. M. </w:t>
      </w:r>
      <w:proofErr w:type="spellStart"/>
      <w:r>
        <w:t>Marissy</w:t>
      </w:r>
      <w:proofErr w:type="spellEnd"/>
      <w:r>
        <w:t xml:space="preserve"> and T. </w:t>
      </w:r>
      <w:proofErr w:type="spellStart"/>
      <w:r>
        <w:t>Asakai</w:t>
      </w:r>
      <w:proofErr w:type="spellEnd"/>
      <w:r>
        <w:t xml:space="preserve"> are asked to join the meeting.</w:t>
      </w:r>
    </w:p>
    <w:p w14:paraId="14EF0571" w14:textId="081E72EB" w:rsidR="00C07E06" w:rsidRDefault="00D92101" w:rsidP="00D92101">
      <w:pPr>
        <w:pStyle w:val="berschrift2"/>
      </w:pPr>
      <w:r>
        <w:t>CCQM-</w:t>
      </w:r>
      <w:r w:rsidR="00DE0D2E">
        <w:t>K</w:t>
      </w:r>
      <w:r w:rsidR="00842DCF">
        <w:t>91.</w:t>
      </w:r>
      <w:r>
        <w:t>2022 – pH of a phthalate buffer</w:t>
      </w:r>
    </w:p>
    <w:p w14:paraId="31E1292B" w14:textId="2ABDF11D" w:rsidR="00E26786" w:rsidRDefault="00E26786" w:rsidP="00EE77EA">
      <w:r>
        <w:t xml:space="preserve">The comparison is a follow-up comparison of K91, which is intended to provide updated support of respective CMCs. Phthalate is one of the buffers to prove ‘extended capabilities’ (according to the EAWG CMC guidelines). PTB was supposed to coordinate the comparison with CMI being the co-piloting institute. However, both institutes had to withdraw from coordination after registration had been completed </w:t>
      </w:r>
      <w:proofErr w:type="gramStart"/>
      <w:r>
        <w:t>as a consequence of</w:t>
      </w:r>
      <w:proofErr w:type="gramEnd"/>
      <w:r>
        <w:t xml:space="preserve"> their national politics in the face the current international situation. INMETRO has agreed to take on the coordination. 13 Institutes have participated. First results have been shown at the autumn meeting. The participants have connected online 5 December </w:t>
      </w:r>
      <w:r w:rsidR="006141A0">
        <w:t xml:space="preserve">2023 </w:t>
      </w:r>
      <w:r>
        <w:t xml:space="preserve">to discuss the results in more detail and decide upon the KCRV. The weighted mean was chosen for all </w:t>
      </w:r>
      <w:r>
        <w:lastRenderedPageBreak/>
        <w:t>temperatures.</w:t>
      </w:r>
      <w:r w:rsidR="00AA2171">
        <w:t xml:space="preserve"> </w:t>
      </w:r>
      <w:r w:rsidR="001C019F">
        <w:t>Draft A has been approved by the participants</w:t>
      </w:r>
      <w:r w:rsidR="001442D5">
        <w:t xml:space="preserve"> and presented in the EAWG meeting April. Afterwards Draft B </w:t>
      </w:r>
      <w:r w:rsidR="00872A6A">
        <w:t>has</w:t>
      </w:r>
      <w:r w:rsidR="00684A83">
        <w:t xml:space="preserve"> been released and approved. </w:t>
      </w:r>
      <w:r w:rsidR="00872A6A">
        <w:t>The Final report is available at the KCDB and c</w:t>
      </w:r>
      <w:r w:rsidR="00684A83">
        <w:t>an be used as evidence for CMC approval.</w:t>
      </w:r>
    </w:p>
    <w:p w14:paraId="467D8CA8" w14:textId="77777777" w:rsidR="00596ADC" w:rsidRDefault="00596ADC" w:rsidP="00596ADC">
      <w:pPr>
        <w:pStyle w:val="berschrift2"/>
      </w:pPr>
      <w:bookmarkStart w:id="1" w:name="_Ref193454172"/>
      <w:r>
        <w:t>CCQM-K96.2023</w:t>
      </w:r>
      <w:bookmarkEnd w:id="1"/>
    </w:p>
    <w:p w14:paraId="5989F168" w14:textId="06846FAA" w:rsidR="00596ADC" w:rsidRDefault="00596ADC" w:rsidP="006C01A4">
      <w:pPr>
        <w:ind w:right="-283"/>
      </w:pPr>
      <w:r>
        <w:t>The comparison is a follow-up comparison of K96, which is intended to provide updated support for respective CMCs. It demonstrates the capability to measure the a</w:t>
      </w:r>
      <w:r w:rsidRPr="008C3374">
        <w:t>mount content of oxidants as potassium dichromate</w:t>
      </w:r>
      <w:r>
        <w:t xml:space="preserve">. KRISS is coordinating the comparison. After feedback from the IAWG meeting, proposing to consider dark uncertainties for KCRV calculation to deal with the two outliers, the participants </w:t>
      </w:r>
      <w:r w:rsidR="00E044B3">
        <w:t xml:space="preserve">have </w:t>
      </w:r>
      <w:r>
        <w:t>held another online meeting 20 September 2024. It was decided to follow CCQM/2013-22 guidelines for KCRV calculation. The median was chosen as most appropriate KCRV estimator. Dark uncertainties have not been included.</w:t>
      </w:r>
      <w:r w:rsidR="0086737A">
        <w:t xml:space="preserve"> Afterwards Draft B has been released and approved. The Final report is available at the KCDB and can be used as evidence for CMC approval.</w:t>
      </w:r>
      <w:r>
        <w:t xml:space="preserve"> The result of the subsequent CCQM-K96.2023.1 comparison has been linked to CCQM-K96.2023. It is consistent with the KCRV. Draft </w:t>
      </w:r>
      <w:r w:rsidR="0086737A">
        <w:t>B</w:t>
      </w:r>
      <w:r>
        <w:t xml:space="preserve"> </w:t>
      </w:r>
      <w:r w:rsidR="00C42C57">
        <w:t xml:space="preserve">has been sent to CCQM for approval. </w:t>
      </w:r>
      <w:r w:rsidR="00DB7DBB">
        <w:t xml:space="preserve">Approval is expected before the April meeting 2025. </w:t>
      </w:r>
      <w:r w:rsidR="00987C7F">
        <w:t xml:space="preserve">Draft B can already be used to support </w:t>
      </w:r>
      <w:r w:rsidR="00DB7DBB">
        <w:t xml:space="preserve">CMC </w:t>
      </w:r>
      <w:r w:rsidR="00987C7F">
        <w:t>submission</w:t>
      </w:r>
      <w:r w:rsidR="00DB7DBB">
        <w:t>.</w:t>
      </w:r>
    </w:p>
    <w:p w14:paraId="444E1E4F" w14:textId="7C3EA3B5" w:rsidR="008274AC" w:rsidRDefault="00630796" w:rsidP="008274AC">
      <w:pPr>
        <w:pStyle w:val="berschrift2"/>
      </w:pPr>
      <w:r>
        <w:t>CCQM-P228 p</w:t>
      </w:r>
      <w:r w:rsidR="008274AC">
        <w:t>ilot study on impedance spectroscopy</w:t>
      </w:r>
    </w:p>
    <w:p w14:paraId="3CAD95D7" w14:textId="1F00FC11" w:rsidR="00DC071E" w:rsidRDefault="00DC071E" w:rsidP="00DC071E">
      <w:r>
        <w:t xml:space="preserve">The pilot study investigates practices to measure the impedance spectra of typical conductivity reference solutions with the aim to establish a best practice guide for the determination of the solution resistance in a conductivity measurement cell. It is coordinated by PTB. To this end, impedance spectra of a 0.1 and a 10 S/m </w:t>
      </w:r>
      <w:proofErr w:type="spellStart"/>
      <w:r>
        <w:t>KCl</w:t>
      </w:r>
      <w:proofErr w:type="spellEnd"/>
      <w:r>
        <w:t xml:space="preserve"> solution are measured by the participants which must also complete a survey to collect information on their measurement practice. 13 institutes have registered. Measurements have been completed. 11 institutes have sent measurements reports. Two institutes have withdrawn. </w:t>
      </w:r>
      <w:r w:rsidR="00072F59">
        <w:t xml:space="preserve">A first evaluation of the results will be shown at the CCQM meetings in April 2025. The coordinator </w:t>
      </w:r>
      <w:r>
        <w:t xml:space="preserve">has </w:t>
      </w:r>
      <w:r w:rsidR="00072F59">
        <w:t xml:space="preserve">however </w:t>
      </w:r>
      <w:r>
        <w:t xml:space="preserve">mentioned that the evaluation is not expected before the </w:t>
      </w:r>
      <w:r w:rsidR="00B36CAE">
        <w:t>October</w:t>
      </w:r>
      <w:r>
        <w:t xml:space="preserve"> meeting in 2025 since the evaluation of the questionnaire is time consuming.</w:t>
      </w:r>
    </w:p>
    <w:p w14:paraId="7E314C6E" w14:textId="19E8D42F" w:rsidR="008274AC" w:rsidRDefault="001C17B3" w:rsidP="001C17B3">
      <w:pPr>
        <w:pStyle w:val="berschrift2"/>
      </w:pPr>
      <w:r>
        <w:t>Bilateral Comparisons</w:t>
      </w:r>
    </w:p>
    <w:p w14:paraId="603A2DE7" w14:textId="77777777" w:rsidR="0043582A" w:rsidRDefault="0043582A" w:rsidP="0043582A">
      <w:r>
        <w:t xml:space="preserve">CCQM-K96.2023.1: see </w:t>
      </w:r>
      <w:r>
        <w:fldChar w:fldCharType="begin"/>
      </w:r>
      <w:r>
        <w:instrText xml:space="preserve"> REF _Ref193454172 \r \h </w:instrText>
      </w:r>
      <w:r>
        <w:fldChar w:fldCharType="separate"/>
      </w:r>
      <w:r>
        <w:t>4.5</w:t>
      </w:r>
      <w:r>
        <w:fldChar w:fldCharType="end"/>
      </w:r>
      <w:r>
        <w:t xml:space="preserve">. </w:t>
      </w:r>
    </w:p>
    <w:p w14:paraId="6D9C9139" w14:textId="4B46E98A" w:rsidR="00974F18" w:rsidRDefault="00DD4713" w:rsidP="00DD4713">
      <w:r>
        <w:t>CCQM-K73.2018.2 (assay of HCl</w:t>
      </w:r>
      <w:r w:rsidR="0099332D">
        <w:t>)</w:t>
      </w:r>
      <w:r>
        <w:t xml:space="preserve"> </w:t>
      </w:r>
      <w:r w:rsidR="0099332D">
        <w:t xml:space="preserve">has been completed. </w:t>
      </w:r>
      <w:r>
        <w:t>Participants: SMU</w:t>
      </w:r>
      <w:r w:rsidR="0059749A">
        <w:t xml:space="preserve"> (linking lab)</w:t>
      </w:r>
      <w:r>
        <w:t xml:space="preserve">, INMETRO, </w:t>
      </w:r>
      <w:proofErr w:type="spellStart"/>
      <w:r w:rsidRPr="00C12E65">
        <w:t>Ukrmetrteststandard</w:t>
      </w:r>
      <w:proofErr w:type="spellEnd"/>
      <w:r>
        <w:t xml:space="preserve">. The final report is published in the KCDB </w:t>
      </w:r>
      <w:r w:rsidR="000A1CBC">
        <w:t xml:space="preserve">and </w:t>
      </w:r>
      <w:r>
        <w:t xml:space="preserve">can </w:t>
      </w:r>
      <w:r w:rsidR="00175EFB">
        <w:t xml:space="preserve">be </w:t>
      </w:r>
      <w:r>
        <w:t>used for CMC support.</w:t>
      </w:r>
    </w:p>
    <w:p w14:paraId="6D95E7FE" w14:textId="03CB0326" w:rsidR="00974F18" w:rsidRDefault="00DD4713" w:rsidP="00DD4713">
      <w:r>
        <w:t>CCQM-K73.2018.3 (assay of HCl</w:t>
      </w:r>
      <w:r w:rsidR="000A1CBC">
        <w:t>) has been completed.</w:t>
      </w:r>
      <w:r>
        <w:t xml:space="preserve"> Participants: TUBITAK-UME and NIM</w:t>
      </w:r>
      <w:r w:rsidR="000A1CBC">
        <w:t> </w:t>
      </w:r>
      <w:r w:rsidR="008B20B5">
        <w:t>(linking lab)</w:t>
      </w:r>
      <w:r>
        <w:t>. The final report is published in the KCDB and can used for CMC support.</w:t>
      </w:r>
    </w:p>
    <w:p w14:paraId="14264199" w14:textId="7892C264" w:rsidR="0043582A" w:rsidRDefault="0043582A" w:rsidP="0043582A">
      <w:r>
        <w:t>CCQM-K73.2018.4</w:t>
      </w:r>
      <w:r w:rsidR="000A1CBC">
        <w:t xml:space="preserve"> </w:t>
      </w:r>
      <w:r w:rsidR="00944CC3">
        <w:t>is in progress. P</w:t>
      </w:r>
      <w:r>
        <w:t>articipants: PTB (linking lab</w:t>
      </w:r>
      <w:r w:rsidR="00944CC3">
        <w:t>)</w:t>
      </w:r>
      <w:r>
        <w:t>, BFKH, INMETRO. The measurements have been completed. Draft A is expected soon.</w:t>
      </w:r>
    </w:p>
    <w:p w14:paraId="799D81D7" w14:textId="2A2BD36F" w:rsidR="00974F18" w:rsidRDefault="00DD4713" w:rsidP="00DD4713">
      <w:r>
        <w:t>CCQM-K173.1 (assay of sodium carbonate</w:t>
      </w:r>
      <w:r w:rsidR="00944CC3">
        <w:t>) has been completed</w:t>
      </w:r>
      <w:r>
        <w:t xml:space="preserve">; Participants: KRISS and </w:t>
      </w:r>
      <w:proofErr w:type="gramStart"/>
      <w:r>
        <w:t>SMU</w:t>
      </w:r>
      <w:r w:rsidR="00BB5405">
        <w:t>(</w:t>
      </w:r>
      <w:proofErr w:type="gramEnd"/>
      <w:r w:rsidR="00BB5405">
        <w:t>linking lab)</w:t>
      </w:r>
      <w:r w:rsidR="006A1B7D">
        <w:t>. The final report is published in the KCDB and can used for CMC support.</w:t>
      </w:r>
    </w:p>
    <w:p w14:paraId="02EAE275" w14:textId="1BC782DE" w:rsidR="00944CC3" w:rsidRDefault="00796394" w:rsidP="0043582A">
      <w:r>
        <w:t>CCQM-K173.</w:t>
      </w:r>
      <w:r w:rsidR="00974F18">
        <w:t>2</w:t>
      </w:r>
      <w:r>
        <w:t xml:space="preserve"> (assay of sodium carbonate</w:t>
      </w:r>
      <w:r w:rsidR="00665D7E">
        <w:t xml:space="preserve">) </w:t>
      </w:r>
      <w:r w:rsidR="00944CC3">
        <w:t xml:space="preserve">is in progress. Participants: SMU (linking lab) and </w:t>
      </w:r>
      <w:r w:rsidR="007F754D">
        <w:t>INMETRO, BFKH and KEBS</w:t>
      </w:r>
      <w:r w:rsidR="007B4CB6">
        <w:t>. At present, samples are prepared</w:t>
      </w:r>
      <w:r w:rsidR="00944CC3">
        <w:t>.</w:t>
      </w:r>
    </w:p>
    <w:p w14:paraId="3854E961" w14:textId="45D5F198" w:rsidR="00EA21B7" w:rsidRDefault="00EA21B7" w:rsidP="00944CC3">
      <w:pPr>
        <w:pStyle w:val="berschrift2"/>
      </w:pPr>
      <w:r>
        <w:t>EURAMET comparisons</w:t>
      </w:r>
    </w:p>
    <w:p w14:paraId="3C8DE5A6" w14:textId="4217C018" w:rsidR="00465937" w:rsidRDefault="00EA21B7" w:rsidP="00EA21B7">
      <w:r>
        <w:t xml:space="preserve">Three regional comparisons have been initiated at EURAMET that are linked to preceding CCQM comparisons. The comparison </w:t>
      </w:r>
      <w:proofErr w:type="gramStart"/>
      <w:r>
        <w:t>are</w:t>
      </w:r>
      <w:proofErr w:type="gramEnd"/>
      <w:r>
        <w:t xml:space="preserve"> initiated for institutes that had to withdraw from the corresponding CCQM-comparisons because of the international situation. EURAMET.QM-K19.2018 (pH of borate buffer) is coordinated by GUM. The samples had to be prepared again due to homogeneity issues with the first batch. </w:t>
      </w:r>
      <w:r w:rsidR="00E102C0">
        <w:t>Measurements have been completed</w:t>
      </w:r>
      <w:r>
        <w:t xml:space="preserve">. Draft A is expected </w:t>
      </w:r>
      <w:r w:rsidR="00E102C0">
        <w:t>soon</w:t>
      </w:r>
      <w:r>
        <w:t>. EURAMET.QM-K170 (conductivity at 0.5 and 20 S/m) is coordinated by PTB.</w:t>
      </w:r>
      <w:r w:rsidR="00E102C0">
        <w:t xml:space="preserve"> </w:t>
      </w:r>
      <w:r w:rsidR="00692C61">
        <w:t>Measurements had been completed by 21 March</w:t>
      </w:r>
      <w:r>
        <w:t>.</w:t>
      </w:r>
      <w:r w:rsidR="004B5203">
        <w:t xml:space="preserve"> Draft A is expected </w:t>
      </w:r>
      <w:r w:rsidR="004B5203">
        <w:lastRenderedPageBreak/>
        <w:t>by the autumn meeting of EAWG</w:t>
      </w:r>
      <w:r>
        <w:t xml:space="preserve">. Finally, EURAMET.QM-K91.2022 (pH of phthalate) was supposed to be coordinated by CMI. Unfortunately, CMI </w:t>
      </w:r>
      <w:r w:rsidR="008F53C3">
        <w:t xml:space="preserve">was unable to </w:t>
      </w:r>
      <w:r>
        <w:t xml:space="preserve">continue </w:t>
      </w:r>
      <w:r w:rsidR="007125C8">
        <w:t>coordination the KC</w:t>
      </w:r>
      <w:r>
        <w:t xml:space="preserve"> due to health issues of involved staff. </w:t>
      </w:r>
      <w:r w:rsidR="00BA6ECB">
        <w:t xml:space="preserve">LNE </w:t>
      </w:r>
      <w:r w:rsidR="007125C8">
        <w:t xml:space="preserve">kindly </w:t>
      </w:r>
      <w:r w:rsidR="00993BBE">
        <w:t>took over the coordination The KC will start in the second half of 2025</w:t>
      </w:r>
      <w:r>
        <w:t>.</w:t>
      </w:r>
    </w:p>
    <w:p w14:paraId="65AEDEFC" w14:textId="5C1604FA" w:rsidR="00D52F71" w:rsidRDefault="00D52F71" w:rsidP="001C234E">
      <w:pPr>
        <w:pStyle w:val="berschrift1"/>
      </w:pPr>
      <w:r>
        <w:t>New Comparisons</w:t>
      </w:r>
    </w:p>
    <w:p w14:paraId="7240860E" w14:textId="311CA307" w:rsidR="00F31509" w:rsidRDefault="00F31509" w:rsidP="004B37B2">
      <w:pPr>
        <w:pStyle w:val="berschrift2"/>
      </w:pPr>
      <w:r>
        <w:t xml:space="preserve">K20.2025 pH of a </w:t>
      </w:r>
      <w:proofErr w:type="spellStart"/>
      <w:r w:rsidR="004B37B2">
        <w:t>Tetroxalate</w:t>
      </w:r>
      <w:proofErr w:type="spellEnd"/>
      <w:r w:rsidR="004B37B2">
        <w:t xml:space="preserve"> buffer</w:t>
      </w:r>
    </w:p>
    <w:p w14:paraId="37225F40" w14:textId="4196D64A" w:rsidR="00F31509" w:rsidRDefault="00351680" w:rsidP="00F31509">
      <w:r>
        <w:t xml:space="preserve">A </w:t>
      </w:r>
      <w:r w:rsidR="00F31509">
        <w:t>new ke</w:t>
      </w:r>
      <w:r>
        <w:t>y</w:t>
      </w:r>
      <w:r w:rsidR="00F31509">
        <w:t xml:space="preserve"> comparison on the pH of a </w:t>
      </w:r>
      <w:proofErr w:type="spellStart"/>
      <w:r w:rsidR="00F31509">
        <w:t>tetroxalate</w:t>
      </w:r>
      <w:proofErr w:type="spellEnd"/>
      <w:r w:rsidR="00F31509">
        <w:t xml:space="preserve"> buffer</w:t>
      </w:r>
      <w:r>
        <w:t xml:space="preserve"> has been approved </w:t>
      </w:r>
      <w:r w:rsidR="006B3DC7">
        <w:t>by CCQM in spring 2024</w:t>
      </w:r>
      <w:r w:rsidR="00F31509">
        <w:t xml:space="preserve">. </w:t>
      </w:r>
      <w:r w:rsidR="006B3DC7">
        <w:t xml:space="preserve">The KC will be coordinated by INMETRO. </w:t>
      </w:r>
      <w:r w:rsidR="00F31509">
        <w:t xml:space="preserve">This buffer has a nominal pH value around 1.7. The KC </w:t>
      </w:r>
      <w:r w:rsidR="00CE3486">
        <w:t xml:space="preserve">is </w:t>
      </w:r>
      <w:r w:rsidR="00F31509">
        <w:t>supposed to prove core competence in pH measurements and to support respective CMC</w:t>
      </w:r>
      <w:r w:rsidR="00CE3486">
        <w:t>s</w:t>
      </w:r>
      <w:r w:rsidR="00F31509">
        <w:t xml:space="preserve"> according to the EAWG guidelines. It is a follow-up comparison of K20. </w:t>
      </w:r>
      <w:r w:rsidR="00F31509" w:rsidRPr="006D678D">
        <w:t>The comparison is open to NMIs or DIs of member or associate states of</w:t>
      </w:r>
      <w:r w:rsidR="00F31509">
        <w:t xml:space="preserve"> the CIPM MRA. Measurements will be conducted at 15 °C, 25 °C, 37 °C and, optionally, at 5°C and 50 °C. Invitations </w:t>
      </w:r>
      <w:r w:rsidR="006B3DC7">
        <w:t xml:space="preserve">have been </w:t>
      </w:r>
      <w:r w:rsidR="00F31509">
        <w:t>sent in January</w:t>
      </w:r>
      <w:r w:rsidR="006B3DC7">
        <w:t xml:space="preserve"> 2025</w:t>
      </w:r>
      <w:r w:rsidR="00F31509">
        <w:t xml:space="preserve">. </w:t>
      </w:r>
      <w:r w:rsidR="006B3DC7">
        <w:t xml:space="preserve">Registration has been completed. </w:t>
      </w:r>
      <w:r w:rsidR="005E69DE">
        <w:t xml:space="preserve">16 NMI/DIs have registered. </w:t>
      </w:r>
      <w:r w:rsidR="00F31509">
        <w:t>Measurement period will be in autumn.</w:t>
      </w:r>
      <w:r w:rsidR="004E394E">
        <w:t xml:space="preserve"> </w:t>
      </w:r>
    </w:p>
    <w:p w14:paraId="6DDC134C" w14:textId="6834BF80" w:rsidR="00CC5FD2" w:rsidRDefault="00795BE5" w:rsidP="00795BE5">
      <w:pPr>
        <w:pStyle w:val="berschrift2"/>
      </w:pPr>
      <w:r>
        <w:t>KC of an assay of EDTA</w:t>
      </w:r>
    </w:p>
    <w:p w14:paraId="72807149" w14:textId="647088C2" w:rsidR="00795BE5" w:rsidRDefault="00312448" w:rsidP="00097B09">
      <w:r>
        <w:t xml:space="preserve">The has been approved by CCQM in spring 2025. It </w:t>
      </w:r>
      <w:r w:rsidR="00097B09">
        <w:t>aims to</w:t>
      </w:r>
      <w:r w:rsidR="00181EA1">
        <w:t xml:space="preserve"> provide evidence for </w:t>
      </w:r>
      <w:r w:rsidR="00097B09" w:rsidRPr="00097B09">
        <w:t xml:space="preserve">the capabilities </w:t>
      </w:r>
      <w:r w:rsidR="00181EA1">
        <w:t xml:space="preserve">of participating NMIs </w:t>
      </w:r>
      <w:r w:rsidR="00370CC9">
        <w:t>to measure the amount content of an</w:t>
      </w:r>
      <w:r w:rsidR="00097B09" w:rsidRPr="00097B09">
        <w:t xml:space="preserve"> assay of EDTA or EDTA salts</w:t>
      </w:r>
      <w:r w:rsidR="004C207F">
        <w:t>. NMIs usin</w:t>
      </w:r>
      <w:r w:rsidR="00373EE2">
        <w:t>g</w:t>
      </w:r>
      <w:r w:rsidR="00EB1122">
        <w:t xml:space="preserve"> </w:t>
      </w:r>
      <w:r w:rsidR="00097B09" w:rsidRPr="00097B09">
        <w:t>complexometric coulometry or titration with EDTA may use this comparison for supporting CMC of complexometric value of liquid and pure solid (EDTA,</w:t>
      </w:r>
      <w:r w:rsidR="00373EE2">
        <w:t xml:space="preserve"> </w:t>
      </w:r>
      <w:proofErr w:type="spellStart"/>
      <w:r w:rsidR="00097B09" w:rsidRPr="00097B09">
        <w:t>ZnO</w:t>
      </w:r>
      <w:proofErr w:type="spellEnd"/>
      <w:r w:rsidR="00097B09" w:rsidRPr="00097B09">
        <w:t>,</w:t>
      </w:r>
      <w:r w:rsidR="00373EE2">
        <w:t xml:space="preserve"> </w:t>
      </w:r>
      <w:r w:rsidR="00097B09" w:rsidRPr="00097B09">
        <w:t>MgO,</w:t>
      </w:r>
      <w:r w:rsidR="00373EE2">
        <w:t xml:space="preserve"> </w:t>
      </w:r>
      <w:r w:rsidR="00097B09" w:rsidRPr="00097B09">
        <w:t>CaCO</w:t>
      </w:r>
      <w:r w:rsidR="00097B09" w:rsidRPr="00373EE2">
        <w:rPr>
          <w:vertAlign w:val="subscript"/>
        </w:rPr>
        <w:t>3</w:t>
      </w:r>
      <w:r w:rsidR="00097B09" w:rsidRPr="00097B09">
        <w:t>,</w:t>
      </w:r>
      <w:r w:rsidR="00373EE2">
        <w:t xml:space="preserve"> </w:t>
      </w:r>
      <w:r w:rsidR="00097B09" w:rsidRPr="00097B09">
        <w:t>etc).</w:t>
      </w:r>
      <w:r w:rsidR="00373EE2">
        <w:t xml:space="preserve"> KRISS will presumably coordinate the KC. Details will be discussed </w:t>
      </w:r>
      <w:r w:rsidR="00B27E30">
        <w:t>at the next meeting.</w:t>
      </w:r>
    </w:p>
    <w:p w14:paraId="17D94E2C" w14:textId="4F075520" w:rsidR="001C234E" w:rsidRDefault="001C234E" w:rsidP="001C234E">
      <w:pPr>
        <w:pStyle w:val="berschrift2"/>
      </w:pPr>
      <w:r>
        <w:t xml:space="preserve">Pilot study on the pH of a </w:t>
      </w:r>
      <w:proofErr w:type="gramStart"/>
      <w:r>
        <w:t>Ca(</w:t>
      </w:r>
      <w:proofErr w:type="gramEnd"/>
      <w:r>
        <w:t>OH)</w:t>
      </w:r>
      <w:r w:rsidR="00FE1E97" w:rsidRPr="00FE1E97">
        <w:rPr>
          <w:vertAlign w:val="subscript"/>
        </w:rPr>
        <w:t>2</w:t>
      </w:r>
      <w:r>
        <w:t xml:space="preserve"> buffer</w:t>
      </w:r>
    </w:p>
    <w:p w14:paraId="7E656642" w14:textId="7828D28E" w:rsidR="001C234E" w:rsidRDefault="00F26753" w:rsidP="00097B09">
      <w:r>
        <w:t xml:space="preserve">A saturated </w:t>
      </w:r>
      <w:proofErr w:type="gramStart"/>
      <w:r>
        <w:t>Ca(</w:t>
      </w:r>
      <w:proofErr w:type="gramEnd"/>
      <w:r>
        <w:t>OH)</w:t>
      </w:r>
      <w:r w:rsidRPr="00A97AD0">
        <w:rPr>
          <w:vertAlign w:val="subscript"/>
        </w:rPr>
        <w:t>2</w:t>
      </w:r>
      <w:r>
        <w:t xml:space="preserve"> buffer</w:t>
      </w:r>
      <w:r w:rsidR="00A97AD0">
        <w:t xml:space="preserve"> (pH 12.45) </w:t>
      </w:r>
      <w:r>
        <w:t xml:space="preserve">is a standard solution </w:t>
      </w:r>
      <w:r w:rsidR="00A97AD0">
        <w:t xml:space="preserve">for the pH range </w:t>
      </w:r>
      <w:r w:rsidR="0017448B">
        <w:t xml:space="preserve">above 11. Currently, there is no </w:t>
      </w:r>
      <w:r w:rsidR="00A25C6B">
        <w:t xml:space="preserve">key comparison available to provide </w:t>
      </w:r>
      <w:r w:rsidR="00452E7E">
        <w:t xml:space="preserve">evidence for </w:t>
      </w:r>
      <w:r w:rsidR="00A25C6B">
        <w:t>the ca</w:t>
      </w:r>
      <w:r w:rsidR="00452E7E">
        <w:t>libration</w:t>
      </w:r>
      <w:r w:rsidR="00A25C6B">
        <w:t xml:space="preserve"> </w:t>
      </w:r>
      <w:r w:rsidR="00452E7E">
        <w:t xml:space="preserve">and measurement </w:t>
      </w:r>
      <w:r w:rsidR="00A25C6B">
        <w:t xml:space="preserve">of NMIs </w:t>
      </w:r>
      <w:r w:rsidR="00452E7E">
        <w:t xml:space="preserve">in this difficult pH range. Therefore, a pilot study is planned to get first insight in the equivalence of measurement results and pave the way for a subsequent KC. The pilot study will be coordinated by PTB. </w:t>
      </w:r>
      <w:r w:rsidR="00AD1015">
        <w:t>Registration will start in autumn</w:t>
      </w:r>
      <w:r w:rsidR="0013217B">
        <w:t xml:space="preserve"> 2025</w:t>
      </w:r>
      <w:r w:rsidR="00AD1015">
        <w:t>. Measurements are expected in 2026.</w:t>
      </w:r>
    </w:p>
    <w:p w14:paraId="1785E293" w14:textId="77777777" w:rsidR="00D06B79" w:rsidRDefault="00D06B79" w:rsidP="00097B09"/>
    <w:p w14:paraId="5121144B" w14:textId="4AC31944" w:rsidR="00D06B79" w:rsidRDefault="00D06B79" w:rsidP="00D06B79">
      <w:pPr>
        <w:pStyle w:val="berschrift1"/>
      </w:pPr>
      <w:r>
        <w:t>Upcoming comparisons</w:t>
      </w:r>
      <w:r w:rsidR="00372212">
        <w:t xml:space="preserve"> </w:t>
      </w:r>
    </w:p>
    <w:p w14:paraId="7D145CA8" w14:textId="09A017B8" w:rsidR="00D06B79" w:rsidRDefault="00D06B79" w:rsidP="00D06B79">
      <w:pPr>
        <w:pStyle w:val="berschrift2"/>
      </w:pPr>
      <w:r>
        <w:t xml:space="preserve">KC on the </w:t>
      </w:r>
      <w:proofErr w:type="spellStart"/>
      <w:r>
        <w:t>pH</w:t>
      </w:r>
      <w:r w:rsidRPr="006174CD">
        <w:rPr>
          <w:vertAlign w:val="subscript"/>
        </w:rPr>
        <w:t>T</w:t>
      </w:r>
      <w:proofErr w:type="spellEnd"/>
      <w:r>
        <w:t xml:space="preserve"> of </w:t>
      </w:r>
      <w:proofErr w:type="gramStart"/>
      <w:r>
        <w:t>a</w:t>
      </w:r>
      <w:proofErr w:type="gramEnd"/>
      <w:r>
        <w:t xml:space="preserve"> ASW</w:t>
      </w:r>
      <w:r w:rsidR="00632619">
        <w:t>/TRIS buffer</w:t>
      </w:r>
    </w:p>
    <w:p w14:paraId="113389F4" w14:textId="264B7398" w:rsidR="00D06B79" w:rsidRDefault="00D06B79" w:rsidP="00D06B79">
      <w:r>
        <w:t xml:space="preserve">The participants of the pilot study </w:t>
      </w:r>
      <w:r w:rsidR="00632619">
        <w:t xml:space="preserve">P221 </w:t>
      </w:r>
      <w:r>
        <w:t>ha</w:t>
      </w:r>
      <w:r w:rsidR="006174CD">
        <w:t>d</w:t>
      </w:r>
      <w:r>
        <w:t xml:space="preserve"> agreed to start the KC in 202</w:t>
      </w:r>
      <w:r w:rsidR="006174CD">
        <w:t>4</w:t>
      </w:r>
      <w:r>
        <w:t xml:space="preserve">. However, there have been changes </w:t>
      </w:r>
      <w:r w:rsidR="004E4369">
        <w:t xml:space="preserve">of personnel </w:t>
      </w:r>
      <w:r>
        <w:t xml:space="preserve">at LNE. Moreover, </w:t>
      </w:r>
      <w:r w:rsidR="00F509AB">
        <w:t xml:space="preserve">due to the pending </w:t>
      </w:r>
      <w:r w:rsidR="00AE06D4">
        <w:t>release of</w:t>
      </w:r>
      <w:r w:rsidR="004E4369">
        <w:t xml:space="preserve"> the</w:t>
      </w:r>
      <w:r w:rsidR="00AE06D4">
        <w:t xml:space="preserve"> Report of P221</w:t>
      </w:r>
      <w:r w:rsidR="006235B0">
        <w:t>,</w:t>
      </w:r>
      <w:r w:rsidR="00AE06D4">
        <w:t xml:space="preserve"> it is difficult to </w:t>
      </w:r>
      <w:r w:rsidR="00656556">
        <w:t>write a Technical Protocol that considers lessons learnt from the pilot study. C</w:t>
      </w:r>
      <w:r>
        <w:t>o</w:t>
      </w:r>
      <w:r w:rsidR="00656556">
        <w:t>o</w:t>
      </w:r>
      <w:r>
        <w:t xml:space="preserve">rdination and schedule </w:t>
      </w:r>
      <w:r w:rsidR="00F509AB">
        <w:t xml:space="preserve">will </w:t>
      </w:r>
      <w:r>
        <w:t>be discussed again at the spring meeting 202</w:t>
      </w:r>
      <w:r w:rsidR="00F509AB">
        <w:t>5</w:t>
      </w:r>
      <w:r>
        <w:t>.</w:t>
      </w:r>
    </w:p>
    <w:p w14:paraId="3620C858" w14:textId="5578DFB8" w:rsidR="00B835C3" w:rsidRDefault="001D33CE" w:rsidP="00B835C3">
      <w:pPr>
        <w:pStyle w:val="berschrift2"/>
      </w:pPr>
      <w:r>
        <w:t>K</w:t>
      </w:r>
      <w:r w:rsidR="00531F31">
        <w:t>48.xxxx on a</w:t>
      </w:r>
      <w:r w:rsidR="007A17C8">
        <w:t xml:space="preserve">n assay of </w:t>
      </w:r>
      <w:proofErr w:type="spellStart"/>
      <w:r w:rsidR="007A17C8">
        <w:t>KCl</w:t>
      </w:r>
      <w:proofErr w:type="spellEnd"/>
      <w:r w:rsidR="005664C4">
        <w:t xml:space="preserve"> or NaCl</w:t>
      </w:r>
    </w:p>
    <w:p w14:paraId="3B1A325B" w14:textId="7117190B" w:rsidR="00B835C3" w:rsidRPr="00307DCA" w:rsidRDefault="001D33CE" w:rsidP="00D06B79">
      <w:r>
        <w:t>A follow-up of K</w:t>
      </w:r>
      <w:r w:rsidR="00531F31">
        <w:t xml:space="preserve">48 on an assay of </w:t>
      </w:r>
      <w:proofErr w:type="spellStart"/>
      <w:r w:rsidR="00531F31">
        <w:t>KCl</w:t>
      </w:r>
      <w:proofErr w:type="spellEnd"/>
      <w:r w:rsidR="00C106EB">
        <w:t xml:space="preserve"> </w:t>
      </w:r>
      <w:r w:rsidR="005664C4">
        <w:t xml:space="preserve">or NaCl </w:t>
      </w:r>
      <w:r w:rsidR="00C106EB">
        <w:t>will presumably be conducted after the KC on EDTA has been completed</w:t>
      </w:r>
      <w:r w:rsidR="00A85645">
        <w:t xml:space="preserve"> in 2027</w:t>
      </w:r>
      <w:r w:rsidR="00C106EB">
        <w:t xml:space="preserve">. </w:t>
      </w:r>
      <w:r w:rsidR="003811C2">
        <w:t xml:space="preserve">The salts are </w:t>
      </w:r>
      <w:r w:rsidR="00C106EB">
        <w:t>representative</w:t>
      </w:r>
      <w:r w:rsidR="003811C2">
        <w:t>s</w:t>
      </w:r>
      <w:r w:rsidR="00C106EB">
        <w:t xml:space="preserve"> </w:t>
      </w:r>
      <w:r w:rsidR="00AF3EA0">
        <w:t xml:space="preserve">to </w:t>
      </w:r>
      <w:r w:rsidR="003811C2">
        <w:t xml:space="preserve">demonstrate the capability to </w:t>
      </w:r>
      <w:r w:rsidR="00AF3EA0">
        <w:t>measure the amount content of precipitating ions</w:t>
      </w:r>
      <w:r w:rsidR="00A85645">
        <w:t xml:space="preserve"> by direct coulometry</w:t>
      </w:r>
      <w:r w:rsidR="00AF3EA0">
        <w:t xml:space="preserve">. </w:t>
      </w:r>
      <w:r w:rsidR="00337335">
        <w:t>Corresponding</w:t>
      </w:r>
      <w:r w:rsidR="00FF248A">
        <w:t xml:space="preserve"> CRMs are </w:t>
      </w:r>
      <w:r w:rsidR="005275FB">
        <w:t xml:space="preserve">very important. The KC is needed to keep up </w:t>
      </w:r>
      <w:r w:rsidR="008776EF">
        <w:t xml:space="preserve">supporting </w:t>
      </w:r>
      <w:r w:rsidR="005275FB">
        <w:t>ev</w:t>
      </w:r>
      <w:r w:rsidR="008776EF">
        <w:t>idence for respective CMCs.</w:t>
      </w:r>
    </w:p>
    <w:p w14:paraId="79226CF4" w14:textId="77777777" w:rsidR="00217796" w:rsidRDefault="00217796" w:rsidP="00925DDD"/>
    <w:p w14:paraId="633A196E" w14:textId="77777777" w:rsidR="00CD3E91" w:rsidRDefault="00CD3E91" w:rsidP="00925DDD">
      <w:pPr>
        <w:sectPr w:rsidR="00CD3E91" w:rsidSect="000F0725">
          <w:headerReference w:type="default" r:id="rId9"/>
          <w:footerReference w:type="default" r:id="rId10"/>
          <w:headerReference w:type="first" r:id="rId11"/>
          <w:footerReference w:type="first" r:id="rId12"/>
          <w:pgSz w:w="11906" w:h="16838"/>
          <w:pgMar w:top="1135" w:right="1274" w:bottom="1276" w:left="1276" w:header="567" w:footer="720" w:gutter="0"/>
          <w:cols w:space="720"/>
          <w:titlePg/>
          <w:docGrid w:linePitch="299"/>
        </w:sectPr>
      </w:pPr>
    </w:p>
    <w:p w14:paraId="2E81F9C3" w14:textId="349AC638" w:rsidR="00892C39" w:rsidRDefault="000C734C" w:rsidP="007D3CB9">
      <w:pPr>
        <w:pStyle w:val="berschrift1"/>
      </w:pPr>
      <w:r>
        <w:lastRenderedPageBreak/>
        <w:t>Overview on w</w:t>
      </w:r>
      <w:r w:rsidR="00E34594" w:rsidRPr="004A5C59">
        <w:t>ork program</w:t>
      </w:r>
      <w:r w:rsidR="004A5C59" w:rsidRPr="004A5C59">
        <w:t>me 202</w:t>
      </w:r>
      <w:r w:rsidR="000556A7">
        <w:t>4</w:t>
      </w:r>
      <w:r w:rsidR="00C02769">
        <w:t>-</w:t>
      </w:r>
      <w:r w:rsidR="004A5C59" w:rsidRPr="004A5C59">
        <w:t>202</w:t>
      </w:r>
      <w:r w:rsidR="000556A7">
        <w:t>6</w:t>
      </w:r>
    </w:p>
    <w:p w14:paraId="62EB184D" w14:textId="498B2D9B" w:rsidR="00217796" w:rsidRPr="00217796" w:rsidRDefault="00217796" w:rsidP="003273FF">
      <w:pPr>
        <w:spacing w:before="120"/>
      </w:pPr>
      <w:r>
        <w:t xml:space="preserve">Table </w:t>
      </w:r>
      <w:r w:rsidR="00382CD0">
        <w:t>2</w:t>
      </w:r>
      <w:r>
        <w:t xml:space="preserve"> Workplan</w:t>
      </w:r>
    </w:p>
    <w:tbl>
      <w:tblPr>
        <w:tblW w:w="12044" w:type="dxa"/>
        <w:tblLook w:val="04A0" w:firstRow="1" w:lastRow="0" w:firstColumn="1" w:lastColumn="0" w:noHBand="0" w:noVBand="1"/>
      </w:tblPr>
      <w:tblGrid>
        <w:gridCol w:w="1067"/>
        <w:gridCol w:w="1574"/>
        <w:gridCol w:w="1641"/>
        <w:gridCol w:w="1574"/>
        <w:gridCol w:w="1970"/>
        <w:gridCol w:w="1273"/>
        <w:gridCol w:w="1550"/>
        <w:gridCol w:w="1395"/>
      </w:tblGrid>
      <w:tr w:rsidR="008B0CA6" w:rsidRPr="009D4456" w14:paraId="014F3C78" w14:textId="77777777" w:rsidTr="00A066A6">
        <w:trPr>
          <w:trHeight w:val="315"/>
        </w:trPr>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953D0" w14:textId="77777777" w:rsidR="009D4456" w:rsidRPr="009D4456" w:rsidRDefault="009D4456" w:rsidP="009D4456">
            <w:pPr>
              <w:widowControl/>
              <w:tabs>
                <w:tab w:val="clear" w:pos="7088"/>
              </w:tabs>
              <w:spacing w:after="0"/>
              <w:ind w:left="0"/>
              <w:jc w:val="center"/>
              <w:rPr>
                <w:rFonts w:ascii="Calibri" w:hAnsi="Calibri" w:cs="Calibri"/>
                <w:snapToGrid/>
                <w:color w:val="000000"/>
                <w:szCs w:val="22"/>
                <w:lang w:val="en-US" w:eastAsia="en-US"/>
              </w:rPr>
            </w:pPr>
            <w:r w:rsidRPr="009D4456">
              <w:rPr>
                <w:rFonts w:ascii="Calibri" w:hAnsi="Calibri" w:cs="Calibri"/>
                <w:snapToGrid/>
                <w:color w:val="000000"/>
                <w:szCs w:val="22"/>
                <w:lang w:val="en-US" w:eastAsia="en-US"/>
              </w:rPr>
              <w:t> </w:t>
            </w:r>
          </w:p>
        </w:tc>
        <w:tc>
          <w:tcPr>
            <w:tcW w:w="3215" w:type="dxa"/>
            <w:gridSpan w:val="2"/>
            <w:tcBorders>
              <w:top w:val="single" w:sz="4" w:space="0" w:color="auto"/>
              <w:left w:val="nil"/>
              <w:bottom w:val="single" w:sz="4" w:space="0" w:color="auto"/>
              <w:right w:val="single" w:sz="4" w:space="0" w:color="auto"/>
            </w:tcBorders>
            <w:shd w:val="clear" w:color="000000" w:fill="FFF2CC"/>
            <w:vAlign w:val="center"/>
            <w:hideMark/>
          </w:tcPr>
          <w:p w14:paraId="1FC14FFF"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pH</w:t>
            </w:r>
          </w:p>
        </w:tc>
        <w:tc>
          <w:tcPr>
            <w:tcW w:w="3544" w:type="dxa"/>
            <w:gridSpan w:val="2"/>
            <w:tcBorders>
              <w:top w:val="single" w:sz="4" w:space="0" w:color="auto"/>
              <w:left w:val="nil"/>
              <w:bottom w:val="single" w:sz="4" w:space="0" w:color="auto"/>
              <w:right w:val="single" w:sz="4" w:space="0" w:color="auto"/>
            </w:tcBorders>
            <w:shd w:val="clear" w:color="000000" w:fill="DDEBF7"/>
            <w:vAlign w:val="center"/>
            <w:hideMark/>
          </w:tcPr>
          <w:p w14:paraId="56269FCF"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conductivity</w:t>
            </w:r>
          </w:p>
        </w:tc>
        <w:tc>
          <w:tcPr>
            <w:tcW w:w="2823" w:type="dxa"/>
            <w:gridSpan w:val="2"/>
            <w:tcBorders>
              <w:top w:val="single" w:sz="4" w:space="0" w:color="auto"/>
              <w:left w:val="nil"/>
              <w:bottom w:val="single" w:sz="4" w:space="0" w:color="auto"/>
              <w:right w:val="single" w:sz="4" w:space="0" w:color="auto"/>
            </w:tcBorders>
            <w:shd w:val="clear" w:color="000000" w:fill="FCE4D6"/>
            <w:vAlign w:val="center"/>
            <w:hideMark/>
          </w:tcPr>
          <w:p w14:paraId="22CDAE8E"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coulometry</w:t>
            </w:r>
          </w:p>
        </w:tc>
        <w:tc>
          <w:tcPr>
            <w:tcW w:w="1395" w:type="dxa"/>
            <w:tcBorders>
              <w:top w:val="single" w:sz="4" w:space="0" w:color="auto"/>
              <w:left w:val="nil"/>
              <w:bottom w:val="single" w:sz="4" w:space="0" w:color="auto"/>
              <w:right w:val="single" w:sz="4" w:space="0" w:color="auto"/>
            </w:tcBorders>
            <w:shd w:val="clear" w:color="000000" w:fill="EDEDED"/>
            <w:vAlign w:val="center"/>
            <w:hideMark/>
          </w:tcPr>
          <w:p w14:paraId="47AE35B5"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Cs w:val="22"/>
                <w:lang w:val="en-US" w:eastAsia="en-US"/>
              </w:rPr>
            </w:pPr>
            <w:r w:rsidRPr="009D4456">
              <w:rPr>
                <w:rFonts w:ascii="Calibri" w:hAnsi="Calibri" w:cs="Calibri"/>
                <w:b/>
                <w:bCs/>
                <w:snapToGrid/>
                <w:color w:val="000000"/>
                <w:szCs w:val="22"/>
                <w:lang w:val="en-US" w:eastAsia="en-US"/>
              </w:rPr>
              <w:t>pilot study</w:t>
            </w:r>
          </w:p>
        </w:tc>
      </w:tr>
      <w:tr w:rsidR="009D4456" w:rsidRPr="009D4456" w14:paraId="2EF8ADC4" w14:textId="77777777" w:rsidTr="00A066A6">
        <w:trPr>
          <w:trHeight w:val="645"/>
        </w:trPr>
        <w:tc>
          <w:tcPr>
            <w:tcW w:w="1067" w:type="dxa"/>
            <w:tcBorders>
              <w:top w:val="nil"/>
              <w:left w:val="single" w:sz="4" w:space="0" w:color="auto"/>
              <w:bottom w:val="single" w:sz="8" w:space="0" w:color="auto"/>
              <w:right w:val="single" w:sz="4" w:space="0" w:color="auto"/>
            </w:tcBorders>
            <w:shd w:val="clear" w:color="000000" w:fill="FFFFFF"/>
            <w:vAlign w:val="center"/>
            <w:hideMark/>
          </w:tcPr>
          <w:p w14:paraId="57CF87A8"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Cs w:val="22"/>
                <w:lang w:val="en-US" w:eastAsia="en-US"/>
              </w:rPr>
            </w:pPr>
            <w:r w:rsidRPr="009D4456">
              <w:rPr>
                <w:rFonts w:ascii="Calibri" w:hAnsi="Calibri" w:cs="Calibri"/>
                <w:b/>
                <w:bCs/>
                <w:snapToGrid/>
                <w:color w:val="000000"/>
                <w:szCs w:val="22"/>
                <w:lang w:val="en-US" w:eastAsia="en-US"/>
              </w:rPr>
              <w:t>year</w:t>
            </w:r>
          </w:p>
        </w:tc>
        <w:tc>
          <w:tcPr>
            <w:tcW w:w="1574" w:type="dxa"/>
            <w:tcBorders>
              <w:top w:val="nil"/>
              <w:left w:val="nil"/>
              <w:bottom w:val="single" w:sz="8" w:space="0" w:color="auto"/>
              <w:right w:val="single" w:sz="4" w:space="0" w:color="auto"/>
            </w:tcBorders>
            <w:shd w:val="clear" w:color="000000" w:fill="FFF2CC"/>
            <w:vAlign w:val="center"/>
            <w:hideMark/>
          </w:tcPr>
          <w:p w14:paraId="4F941D7C"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KC-ID</w:t>
            </w:r>
          </w:p>
        </w:tc>
        <w:tc>
          <w:tcPr>
            <w:tcW w:w="1641" w:type="dxa"/>
            <w:tcBorders>
              <w:top w:val="nil"/>
              <w:left w:val="nil"/>
              <w:bottom w:val="single" w:sz="8" w:space="0" w:color="auto"/>
              <w:right w:val="single" w:sz="4" w:space="0" w:color="auto"/>
            </w:tcBorders>
            <w:shd w:val="clear" w:color="000000" w:fill="FFF2CC"/>
            <w:vAlign w:val="center"/>
            <w:hideMark/>
          </w:tcPr>
          <w:p w14:paraId="003C011B"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buffer</w:t>
            </w:r>
          </w:p>
        </w:tc>
        <w:tc>
          <w:tcPr>
            <w:tcW w:w="1574" w:type="dxa"/>
            <w:tcBorders>
              <w:top w:val="nil"/>
              <w:left w:val="nil"/>
              <w:bottom w:val="single" w:sz="8" w:space="0" w:color="auto"/>
              <w:right w:val="single" w:sz="4" w:space="0" w:color="auto"/>
            </w:tcBorders>
            <w:shd w:val="clear" w:color="000000" w:fill="DDEBF7"/>
            <w:vAlign w:val="center"/>
            <w:hideMark/>
          </w:tcPr>
          <w:p w14:paraId="1903213B"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KC-ID</w:t>
            </w:r>
          </w:p>
        </w:tc>
        <w:tc>
          <w:tcPr>
            <w:tcW w:w="1970" w:type="dxa"/>
            <w:tcBorders>
              <w:top w:val="nil"/>
              <w:left w:val="nil"/>
              <w:bottom w:val="single" w:sz="8" w:space="0" w:color="auto"/>
              <w:right w:val="single" w:sz="4" w:space="0" w:color="auto"/>
            </w:tcBorders>
            <w:shd w:val="clear" w:color="000000" w:fill="DDEBF7"/>
            <w:vAlign w:val="center"/>
            <w:hideMark/>
          </w:tcPr>
          <w:p w14:paraId="281EA5A9"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value</w:t>
            </w:r>
            <w:r w:rsidRPr="009D4456">
              <w:rPr>
                <w:rFonts w:ascii="Calibri" w:hAnsi="Calibri" w:cs="Calibri"/>
                <w:b/>
                <w:bCs/>
                <w:snapToGrid/>
                <w:color w:val="000000"/>
                <w:sz w:val="24"/>
                <w:szCs w:val="24"/>
                <w:lang w:val="en-US" w:eastAsia="en-US"/>
              </w:rPr>
              <w:br/>
              <w:t>(solution)</w:t>
            </w:r>
          </w:p>
        </w:tc>
        <w:tc>
          <w:tcPr>
            <w:tcW w:w="1273" w:type="dxa"/>
            <w:tcBorders>
              <w:top w:val="nil"/>
              <w:left w:val="nil"/>
              <w:bottom w:val="single" w:sz="8" w:space="0" w:color="auto"/>
              <w:right w:val="single" w:sz="4" w:space="0" w:color="auto"/>
            </w:tcBorders>
            <w:shd w:val="clear" w:color="000000" w:fill="FCE4D6"/>
            <w:vAlign w:val="center"/>
            <w:hideMark/>
          </w:tcPr>
          <w:p w14:paraId="3AC60258"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KC-ID</w:t>
            </w:r>
          </w:p>
        </w:tc>
        <w:tc>
          <w:tcPr>
            <w:tcW w:w="1550" w:type="dxa"/>
            <w:tcBorders>
              <w:top w:val="nil"/>
              <w:left w:val="nil"/>
              <w:bottom w:val="single" w:sz="8" w:space="0" w:color="auto"/>
              <w:right w:val="single" w:sz="4" w:space="0" w:color="auto"/>
            </w:tcBorders>
            <w:shd w:val="clear" w:color="000000" w:fill="FCE4D6"/>
            <w:vAlign w:val="center"/>
            <w:hideMark/>
          </w:tcPr>
          <w:p w14:paraId="5954ADA1" w14:textId="77777777" w:rsidR="009D4456" w:rsidRPr="009D4456" w:rsidRDefault="009D4456" w:rsidP="009D4456">
            <w:pPr>
              <w:widowControl/>
              <w:tabs>
                <w:tab w:val="clear" w:pos="7088"/>
              </w:tabs>
              <w:spacing w:after="0"/>
              <w:ind w:left="0"/>
              <w:jc w:val="center"/>
              <w:rPr>
                <w:rFonts w:ascii="Calibri" w:hAnsi="Calibri" w:cs="Calibri"/>
                <w:b/>
                <w:bCs/>
                <w:snapToGrid/>
                <w:color w:val="000000"/>
                <w:sz w:val="24"/>
                <w:szCs w:val="24"/>
                <w:lang w:val="en-US" w:eastAsia="en-US"/>
              </w:rPr>
            </w:pPr>
            <w:r w:rsidRPr="009D4456">
              <w:rPr>
                <w:rFonts w:ascii="Calibri" w:hAnsi="Calibri" w:cs="Calibri"/>
                <w:b/>
                <w:bCs/>
                <w:snapToGrid/>
                <w:color w:val="000000"/>
                <w:sz w:val="24"/>
                <w:szCs w:val="24"/>
                <w:lang w:val="en-US" w:eastAsia="en-US"/>
              </w:rPr>
              <w:t>assay</w:t>
            </w:r>
          </w:p>
        </w:tc>
        <w:tc>
          <w:tcPr>
            <w:tcW w:w="1395" w:type="dxa"/>
            <w:tcBorders>
              <w:top w:val="nil"/>
              <w:left w:val="nil"/>
              <w:bottom w:val="single" w:sz="8" w:space="0" w:color="auto"/>
              <w:right w:val="single" w:sz="4" w:space="0" w:color="auto"/>
            </w:tcBorders>
            <w:shd w:val="clear" w:color="000000" w:fill="EDEDED"/>
            <w:vAlign w:val="center"/>
            <w:hideMark/>
          </w:tcPr>
          <w:p w14:paraId="2095D427" w14:textId="77777777" w:rsidR="009D4456" w:rsidRPr="009D4456" w:rsidRDefault="009D4456" w:rsidP="009D4456">
            <w:pPr>
              <w:widowControl/>
              <w:tabs>
                <w:tab w:val="clear" w:pos="7088"/>
              </w:tabs>
              <w:spacing w:after="0"/>
              <w:ind w:left="0"/>
              <w:jc w:val="center"/>
              <w:rPr>
                <w:rFonts w:ascii="Calibri" w:hAnsi="Calibri" w:cs="Calibri"/>
                <w:snapToGrid/>
                <w:color w:val="000000"/>
                <w:szCs w:val="22"/>
                <w:lang w:val="en-US" w:eastAsia="en-US"/>
              </w:rPr>
            </w:pPr>
            <w:r w:rsidRPr="009D4456">
              <w:rPr>
                <w:rFonts w:ascii="Calibri" w:hAnsi="Calibri" w:cs="Calibri"/>
                <w:snapToGrid/>
                <w:color w:val="000000"/>
                <w:szCs w:val="22"/>
                <w:lang w:val="en-US" w:eastAsia="en-US"/>
              </w:rPr>
              <w:t> </w:t>
            </w:r>
          </w:p>
        </w:tc>
      </w:tr>
      <w:tr w:rsidR="007D3CB9" w:rsidRPr="002D7730" w14:paraId="26C4875C" w14:textId="77777777" w:rsidTr="00A066A6">
        <w:trPr>
          <w:trHeight w:val="600"/>
        </w:trPr>
        <w:tc>
          <w:tcPr>
            <w:tcW w:w="1067" w:type="dxa"/>
            <w:tcBorders>
              <w:top w:val="single" w:sz="4" w:space="0" w:color="auto"/>
              <w:left w:val="single" w:sz="4" w:space="0" w:color="auto"/>
              <w:bottom w:val="nil"/>
              <w:right w:val="single" w:sz="4" w:space="0" w:color="auto"/>
            </w:tcBorders>
            <w:shd w:val="clear" w:color="000000" w:fill="FFFFFF"/>
            <w:vAlign w:val="center"/>
            <w:hideMark/>
          </w:tcPr>
          <w:p w14:paraId="152F0AA1"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2024</w:t>
            </w:r>
          </w:p>
        </w:tc>
        <w:tc>
          <w:tcPr>
            <w:tcW w:w="1574" w:type="dxa"/>
            <w:tcBorders>
              <w:top w:val="single" w:sz="4" w:space="0" w:color="auto"/>
              <w:left w:val="nil"/>
              <w:bottom w:val="single" w:sz="4" w:space="0" w:color="auto"/>
              <w:right w:val="single" w:sz="4" w:space="0" w:color="auto"/>
            </w:tcBorders>
            <w:shd w:val="clear" w:color="000000" w:fill="FFE699"/>
            <w:vAlign w:val="center"/>
            <w:hideMark/>
          </w:tcPr>
          <w:p w14:paraId="48B76E7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641" w:type="dxa"/>
            <w:tcBorders>
              <w:top w:val="single" w:sz="4" w:space="0" w:color="auto"/>
              <w:left w:val="nil"/>
              <w:bottom w:val="single" w:sz="4" w:space="0" w:color="auto"/>
              <w:right w:val="single" w:sz="4" w:space="0" w:color="auto"/>
            </w:tcBorders>
            <w:shd w:val="clear" w:color="000000" w:fill="FFE699"/>
            <w:vAlign w:val="center"/>
            <w:hideMark/>
          </w:tcPr>
          <w:p w14:paraId="4015E356"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single" w:sz="4" w:space="0" w:color="auto"/>
              <w:left w:val="nil"/>
              <w:bottom w:val="single" w:sz="4" w:space="0" w:color="auto"/>
              <w:right w:val="single" w:sz="4" w:space="0" w:color="auto"/>
            </w:tcBorders>
            <w:shd w:val="clear" w:color="000000" w:fill="DDEBF7"/>
            <w:vAlign w:val="center"/>
            <w:hideMark/>
          </w:tcPr>
          <w:p w14:paraId="22BF29BE"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970" w:type="dxa"/>
            <w:tcBorders>
              <w:top w:val="single" w:sz="4" w:space="0" w:color="auto"/>
              <w:left w:val="nil"/>
              <w:bottom w:val="single" w:sz="4" w:space="0" w:color="auto"/>
              <w:right w:val="single" w:sz="4" w:space="0" w:color="auto"/>
            </w:tcBorders>
            <w:shd w:val="clear" w:color="000000" w:fill="DDEBF7"/>
            <w:vAlign w:val="center"/>
            <w:hideMark/>
          </w:tcPr>
          <w:p w14:paraId="1AB12D26"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273" w:type="dxa"/>
            <w:tcBorders>
              <w:top w:val="single" w:sz="4" w:space="0" w:color="auto"/>
              <w:left w:val="nil"/>
              <w:bottom w:val="single" w:sz="4" w:space="0" w:color="auto"/>
              <w:right w:val="single" w:sz="4" w:space="0" w:color="auto"/>
            </w:tcBorders>
            <w:shd w:val="clear" w:color="000000" w:fill="FCE4D6"/>
            <w:vAlign w:val="center"/>
            <w:hideMark/>
          </w:tcPr>
          <w:p w14:paraId="1A1DDD74"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K173.1</w:t>
            </w:r>
          </w:p>
        </w:tc>
        <w:tc>
          <w:tcPr>
            <w:tcW w:w="1550" w:type="dxa"/>
            <w:tcBorders>
              <w:top w:val="single" w:sz="4" w:space="0" w:color="auto"/>
              <w:left w:val="nil"/>
              <w:bottom w:val="single" w:sz="4" w:space="0" w:color="auto"/>
              <w:right w:val="single" w:sz="4" w:space="0" w:color="auto"/>
            </w:tcBorders>
            <w:shd w:val="clear" w:color="000000" w:fill="FCE4D6"/>
            <w:vAlign w:val="center"/>
            <w:hideMark/>
          </w:tcPr>
          <w:p w14:paraId="06C56C08"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sodium carbonate (SMU)</w:t>
            </w:r>
          </w:p>
        </w:tc>
        <w:tc>
          <w:tcPr>
            <w:tcW w:w="1395" w:type="dxa"/>
            <w:tcBorders>
              <w:top w:val="single" w:sz="4" w:space="0" w:color="auto"/>
              <w:left w:val="nil"/>
              <w:bottom w:val="single" w:sz="4" w:space="0" w:color="auto"/>
              <w:right w:val="single" w:sz="4" w:space="0" w:color="auto"/>
            </w:tcBorders>
            <w:shd w:val="clear" w:color="000000" w:fill="EDEDED"/>
            <w:vAlign w:val="center"/>
            <w:hideMark/>
          </w:tcPr>
          <w:p w14:paraId="5ECE2DE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r w:rsidR="007D3CB9" w:rsidRPr="002D7730" w14:paraId="76E5F5FA" w14:textId="77777777" w:rsidTr="00A066A6">
        <w:trPr>
          <w:trHeight w:val="900"/>
        </w:trPr>
        <w:tc>
          <w:tcPr>
            <w:tcW w:w="1067" w:type="dxa"/>
            <w:tcBorders>
              <w:top w:val="nil"/>
              <w:left w:val="single" w:sz="4" w:space="0" w:color="auto"/>
              <w:bottom w:val="nil"/>
              <w:right w:val="single" w:sz="4" w:space="0" w:color="auto"/>
            </w:tcBorders>
            <w:shd w:val="clear" w:color="000000" w:fill="FFFFFF"/>
            <w:vAlign w:val="center"/>
            <w:hideMark/>
          </w:tcPr>
          <w:p w14:paraId="5C8998F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single" w:sz="4" w:space="0" w:color="auto"/>
              <w:left w:val="nil"/>
              <w:bottom w:val="single" w:sz="4" w:space="0" w:color="auto"/>
              <w:right w:val="single" w:sz="4" w:space="0" w:color="auto"/>
            </w:tcBorders>
            <w:shd w:val="clear" w:color="000000" w:fill="FFF2CC"/>
            <w:vAlign w:val="center"/>
            <w:hideMark/>
          </w:tcPr>
          <w:p w14:paraId="25BEB6BE"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EURAMET.QM-K19.2018</w:t>
            </w:r>
          </w:p>
        </w:tc>
        <w:tc>
          <w:tcPr>
            <w:tcW w:w="1641" w:type="dxa"/>
            <w:tcBorders>
              <w:top w:val="nil"/>
              <w:left w:val="nil"/>
              <w:bottom w:val="single" w:sz="4" w:space="0" w:color="auto"/>
              <w:right w:val="single" w:sz="4" w:space="0" w:color="auto"/>
            </w:tcBorders>
            <w:shd w:val="clear" w:color="000000" w:fill="FFF2CC"/>
            <w:vAlign w:val="center"/>
            <w:hideMark/>
          </w:tcPr>
          <w:p w14:paraId="20755D8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borate</w:t>
            </w:r>
            <w:r w:rsidRPr="009D4456">
              <w:rPr>
                <w:rFonts w:asciiTheme="minorHAnsi" w:hAnsiTheme="minorHAnsi" w:cstheme="minorHAnsi"/>
                <w:snapToGrid/>
                <w:color w:val="000000" w:themeColor="text1"/>
                <w:szCs w:val="22"/>
                <w:lang w:val="en-US" w:eastAsia="en-US"/>
              </w:rPr>
              <w:br/>
              <w:t>(GUM/SMU)</w:t>
            </w:r>
          </w:p>
        </w:tc>
        <w:tc>
          <w:tcPr>
            <w:tcW w:w="1574" w:type="dxa"/>
            <w:tcBorders>
              <w:top w:val="nil"/>
              <w:left w:val="nil"/>
              <w:bottom w:val="single" w:sz="4" w:space="0" w:color="auto"/>
              <w:right w:val="single" w:sz="4" w:space="0" w:color="auto"/>
            </w:tcBorders>
            <w:shd w:val="clear" w:color="000000" w:fill="DDEBF7"/>
            <w:vAlign w:val="center"/>
            <w:hideMark/>
          </w:tcPr>
          <w:p w14:paraId="51920153" w14:textId="554B5B29" w:rsidR="009D4456" w:rsidRPr="009D4456" w:rsidRDefault="002D7730"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Pr>
                <w:rFonts w:asciiTheme="minorHAnsi" w:hAnsiTheme="minorHAnsi" w:cstheme="minorHAnsi"/>
                <w:snapToGrid/>
                <w:color w:val="000000" w:themeColor="text1"/>
                <w:szCs w:val="22"/>
                <w:lang w:val="en-US" w:eastAsia="en-US"/>
              </w:rPr>
              <w:t>K170</w:t>
            </w:r>
          </w:p>
        </w:tc>
        <w:tc>
          <w:tcPr>
            <w:tcW w:w="1970" w:type="dxa"/>
            <w:tcBorders>
              <w:top w:val="nil"/>
              <w:left w:val="nil"/>
              <w:bottom w:val="single" w:sz="4" w:space="0" w:color="auto"/>
              <w:right w:val="single" w:sz="4" w:space="0" w:color="auto"/>
            </w:tcBorders>
            <w:shd w:val="clear" w:color="000000" w:fill="DDEBF7"/>
            <w:vAlign w:val="center"/>
            <w:hideMark/>
          </w:tcPr>
          <w:p w14:paraId="69499B9A"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0.5 S/m (</w:t>
            </w:r>
            <w:proofErr w:type="spellStart"/>
            <w:r w:rsidRPr="009D4456">
              <w:rPr>
                <w:rFonts w:asciiTheme="minorHAnsi" w:hAnsiTheme="minorHAnsi" w:cstheme="minorHAnsi"/>
                <w:snapToGrid/>
                <w:color w:val="000000" w:themeColor="text1"/>
                <w:szCs w:val="22"/>
                <w:lang w:val="en-US" w:eastAsia="en-US"/>
              </w:rPr>
              <w:t>KCl</w:t>
            </w:r>
            <w:proofErr w:type="spellEnd"/>
            <w:r w:rsidRPr="009D4456">
              <w:rPr>
                <w:rFonts w:asciiTheme="minorHAnsi" w:hAnsiTheme="minorHAnsi" w:cstheme="minorHAnsi"/>
                <w:snapToGrid/>
                <w:color w:val="000000" w:themeColor="text1"/>
                <w:szCs w:val="22"/>
                <w:lang w:val="en-US" w:eastAsia="en-US"/>
              </w:rPr>
              <w:t>)</w:t>
            </w:r>
            <w:r w:rsidRPr="009D4456">
              <w:rPr>
                <w:rFonts w:asciiTheme="minorHAnsi" w:hAnsiTheme="minorHAnsi" w:cstheme="minorHAnsi"/>
                <w:snapToGrid/>
                <w:color w:val="000000" w:themeColor="text1"/>
                <w:szCs w:val="22"/>
                <w:lang w:val="en-US" w:eastAsia="en-US"/>
              </w:rPr>
              <w:br/>
              <w:t>20 S/m (</w:t>
            </w:r>
            <w:proofErr w:type="spellStart"/>
            <w:r w:rsidRPr="009D4456">
              <w:rPr>
                <w:rFonts w:asciiTheme="minorHAnsi" w:hAnsiTheme="minorHAnsi" w:cstheme="minorHAnsi"/>
                <w:snapToGrid/>
                <w:color w:val="000000" w:themeColor="text1"/>
                <w:szCs w:val="22"/>
                <w:lang w:val="en-US" w:eastAsia="en-US"/>
              </w:rPr>
              <w:t>KCl</w:t>
            </w:r>
            <w:proofErr w:type="spellEnd"/>
            <w:r w:rsidRPr="009D4456">
              <w:rPr>
                <w:rFonts w:asciiTheme="minorHAnsi" w:hAnsiTheme="minorHAnsi" w:cstheme="minorHAnsi"/>
                <w:snapToGrid/>
                <w:color w:val="000000" w:themeColor="text1"/>
                <w:szCs w:val="22"/>
                <w:lang w:val="en-US" w:eastAsia="en-US"/>
              </w:rPr>
              <w:t>)</w:t>
            </w:r>
            <w:r w:rsidRPr="009D4456">
              <w:rPr>
                <w:rFonts w:asciiTheme="minorHAnsi" w:hAnsiTheme="minorHAnsi" w:cstheme="minorHAnsi"/>
                <w:snapToGrid/>
                <w:color w:val="000000" w:themeColor="text1"/>
                <w:szCs w:val="22"/>
                <w:lang w:val="en-US" w:eastAsia="en-US"/>
              </w:rPr>
              <w:br/>
              <w:t>(PTB)</w:t>
            </w:r>
          </w:p>
        </w:tc>
        <w:tc>
          <w:tcPr>
            <w:tcW w:w="1273" w:type="dxa"/>
            <w:tcBorders>
              <w:top w:val="nil"/>
              <w:left w:val="nil"/>
              <w:bottom w:val="single" w:sz="4" w:space="0" w:color="auto"/>
              <w:right w:val="single" w:sz="4" w:space="0" w:color="auto"/>
            </w:tcBorders>
            <w:shd w:val="clear" w:color="000000" w:fill="FCE4D6"/>
            <w:vAlign w:val="center"/>
            <w:hideMark/>
          </w:tcPr>
          <w:p w14:paraId="47E3439A"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K96.2023.1</w:t>
            </w:r>
          </w:p>
        </w:tc>
        <w:tc>
          <w:tcPr>
            <w:tcW w:w="1550" w:type="dxa"/>
            <w:tcBorders>
              <w:top w:val="nil"/>
              <w:left w:val="nil"/>
              <w:bottom w:val="single" w:sz="4" w:space="0" w:color="auto"/>
              <w:right w:val="single" w:sz="4" w:space="0" w:color="auto"/>
            </w:tcBorders>
            <w:shd w:val="clear" w:color="000000" w:fill="FCE4D6"/>
            <w:vAlign w:val="center"/>
            <w:hideMark/>
          </w:tcPr>
          <w:p w14:paraId="74A550E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potassium dichromate (KRISS)</w:t>
            </w:r>
          </w:p>
        </w:tc>
        <w:tc>
          <w:tcPr>
            <w:tcW w:w="1395" w:type="dxa"/>
            <w:tcBorders>
              <w:top w:val="nil"/>
              <w:left w:val="nil"/>
              <w:bottom w:val="single" w:sz="4" w:space="0" w:color="auto"/>
              <w:right w:val="single" w:sz="4" w:space="0" w:color="auto"/>
            </w:tcBorders>
            <w:shd w:val="clear" w:color="000000" w:fill="EDEDED"/>
            <w:vAlign w:val="center"/>
            <w:hideMark/>
          </w:tcPr>
          <w:p w14:paraId="051E4FBF"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r w:rsidR="007D3CB9" w:rsidRPr="002D7730" w14:paraId="7BEDC8C3" w14:textId="77777777" w:rsidTr="00A066A6">
        <w:trPr>
          <w:trHeight w:val="600"/>
        </w:trPr>
        <w:tc>
          <w:tcPr>
            <w:tcW w:w="1067" w:type="dxa"/>
            <w:tcBorders>
              <w:top w:val="nil"/>
              <w:left w:val="single" w:sz="4" w:space="0" w:color="auto"/>
              <w:bottom w:val="single" w:sz="4" w:space="0" w:color="auto"/>
              <w:right w:val="single" w:sz="4" w:space="0" w:color="auto"/>
            </w:tcBorders>
            <w:shd w:val="clear" w:color="000000" w:fill="FFFFFF"/>
            <w:vAlign w:val="center"/>
            <w:hideMark/>
          </w:tcPr>
          <w:p w14:paraId="6F1A5C5F"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single" w:sz="4" w:space="0" w:color="auto"/>
              <w:left w:val="nil"/>
              <w:bottom w:val="single" w:sz="4" w:space="0" w:color="auto"/>
              <w:right w:val="single" w:sz="4" w:space="0" w:color="auto"/>
            </w:tcBorders>
            <w:shd w:val="clear" w:color="000000" w:fill="FFF2CC"/>
            <w:vAlign w:val="center"/>
            <w:hideMark/>
          </w:tcPr>
          <w:p w14:paraId="61569FB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641" w:type="dxa"/>
            <w:tcBorders>
              <w:top w:val="nil"/>
              <w:left w:val="nil"/>
              <w:bottom w:val="single" w:sz="4" w:space="0" w:color="auto"/>
              <w:right w:val="single" w:sz="4" w:space="0" w:color="auto"/>
            </w:tcBorders>
            <w:shd w:val="clear" w:color="000000" w:fill="FFF2CC"/>
            <w:vAlign w:val="center"/>
            <w:hideMark/>
          </w:tcPr>
          <w:p w14:paraId="533A55BF"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nil"/>
              <w:left w:val="nil"/>
              <w:bottom w:val="single" w:sz="4" w:space="0" w:color="auto"/>
              <w:right w:val="single" w:sz="4" w:space="0" w:color="auto"/>
            </w:tcBorders>
            <w:shd w:val="clear" w:color="000000" w:fill="DDEBF7"/>
            <w:vAlign w:val="center"/>
            <w:hideMark/>
          </w:tcPr>
          <w:p w14:paraId="7FF85C8C" w14:textId="0DB58848"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p>
        </w:tc>
        <w:tc>
          <w:tcPr>
            <w:tcW w:w="1970" w:type="dxa"/>
            <w:tcBorders>
              <w:top w:val="nil"/>
              <w:left w:val="nil"/>
              <w:bottom w:val="single" w:sz="4" w:space="0" w:color="auto"/>
              <w:right w:val="single" w:sz="4" w:space="0" w:color="auto"/>
            </w:tcBorders>
            <w:shd w:val="clear" w:color="000000" w:fill="DDEBF7"/>
            <w:vAlign w:val="center"/>
            <w:hideMark/>
          </w:tcPr>
          <w:p w14:paraId="760350B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273" w:type="dxa"/>
            <w:tcBorders>
              <w:top w:val="nil"/>
              <w:left w:val="nil"/>
              <w:bottom w:val="single" w:sz="4" w:space="0" w:color="auto"/>
              <w:right w:val="single" w:sz="4" w:space="0" w:color="auto"/>
            </w:tcBorders>
            <w:shd w:val="clear" w:color="000000" w:fill="FCE4D6"/>
            <w:vAlign w:val="center"/>
            <w:hideMark/>
          </w:tcPr>
          <w:p w14:paraId="783D0918"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K73.2018.3</w:t>
            </w:r>
          </w:p>
        </w:tc>
        <w:tc>
          <w:tcPr>
            <w:tcW w:w="1550" w:type="dxa"/>
            <w:tcBorders>
              <w:top w:val="nil"/>
              <w:left w:val="nil"/>
              <w:bottom w:val="single" w:sz="4" w:space="0" w:color="auto"/>
              <w:right w:val="single" w:sz="4" w:space="0" w:color="auto"/>
            </w:tcBorders>
            <w:shd w:val="clear" w:color="000000" w:fill="FCE4D6"/>
            <w:vAlign w:val="center"/>
            <w:hideMark/>
          </w:tcPr>
          <w:p w14:paraId="5892E4F7"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HCl</w:t>
            </w:r>
            <w:r w:rsidRPr="009D4456">
              <w:rPr>
                <w:rFonts w:asciiTheme="minorHAnsi" w:hAnsiTheme="minorHAnsi" w:cstheme="minorHAnsi"/>
                <w:snapToGrid/>
                <w:color w:val="000000" w:themeColor="text1"/>
                <w:szCs w:val="22"/>
                <w:lang w:val="en-US" w:eastAsia="en-US"/>
              </w:rPr>
              <w:br/>
              <w:t>(NIM)</w:t>
            </w:r>
          </w:p>
        </w:tc>
        <w:tc>
          <w:tcPr>
            <w:tcW w:w="1395" w:type="dxa"/>
            <w:tcBorders>
              <w:top w:val="nil"/>
              <w:left w:val="nil"/>
              <w:bottom w:val="single" w:sz="4" w:space="0" w:color="auto"/>
              <w:right w:val="single" w:sz="4" w:space="0" w:color="auto"/>
            </w:tcBorders>
            <w:shd w:val="clear" w:color="000000" w:fill="EDEDED"/>
            <w:vAlign w:val="center"/>
            <w:hideMark/>
          </w:tcPr>
          <w:p w14:paraId="1666AC54"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r w:rsidR="007D3CB9" w:rsidRPr="002D7730" w14:paraId="6219CC5E" w14:textId="77777777" w:rsidTr="00A066A6">
        <w:trPr>
          <w:trHeight w:val="600"/>
        </w:trPr>
        <w:tc>
          <w:tcPr>
            <w:tcW w:w="1067" w:type="dxa"/>
            <w:tcBorders>
              <w:top w:val="nil"/>
              <w:left w:val="single" w:sz="4" w:space="0" w:color="auto"/>
              <w:bottom w:val="nil"/>
              <w:right w:val="single" w:sz="4" w:space="0" w:color="auto"/>
            </w:tcBorders>
            <w:shd w:val="clear" w:color="000000" w:fill="FFFFFF"/>
            <w:vAlign w:val="center"/>
            <w:hideMark/>
          </w:tcPr>
          <w:p w14:paraId="6C3BCE28"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single" w:sz="4" w:space="0" w:color="auto"/>
              <w:left w:val="nil"/>
              <w:bottom w:val="single" w:sz="4" w:space="0" w:color="auto"/>
              <w:right w:val="single" w:sz="4" w:space="0" w:color="auto"/>
            </w:tcBorders>
            <w:shd w:val="clear" w:color="000000" w:fill="FFE699"/>
            <w:vAlign w:val="center"/>
            <w:hideMark/>
          </w:tcPr>
          <w:p w14:paraId="4D60D555"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641" w:type="dxa"/>
            <w:tcBorders>
              <w:top w:val="nil"/>
              <w:left w:val="nil"/>
              <w:bottom w:val="single" w:sz="4" w:space="0" w:color="auto"/>
              <w:right w:val="single" w:sz="4" w:space="0" w:color="auto"/>
            </w:tcBorders>
            <w:shd w:val="clear" w:color="000000" w:fill="FFE699"/>
            <w:vAlign w:val="center"/>
            <w:hideMark/>
          </w:tcPr>
          <w:p w14:paraId="16E50103"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nil"/>
              <w:left w:val="nil"/>
              <w:bottom w:val="single" w:sz="4" w:space="0" w:color="auto"/>
              <w:right w:val="single" w:sz="4" w:space="0" w:color="auto"/>
            </w:tcBorders>
            <w:shd w:val="clear" w:color="000000" w:fill="DDEBF7"/>
            <w:vAlign w:val="center"/>
            <w:hideMark/>
          </w:tcPr>
          <w:p w14:paraId="6A648F7A"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970" w:type="dxa"/>
            <w:tcBorders>
              <w:top w:val="nil"/>
              <w:left w:val="nil"/>
              <w:bottom w:val="single" w:sz="4" w:space="0" w:color="auto"/>
              <w:right w:val="single" w:sz="4" w:space="0" w:color="auto"/>
            </w:tcBorders>
            <w:shd w:val="clear" w:color="000000" w:fill="DDEBF7"/>
            <w:vAlign w:val="center"/>
            <w:hideMark/>
          </w:tcPr>
          <w:p w14:paraId="2EE12EC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273" w:type="dxa"/>
            <w:tcBorders>
              <w:top w:val="nil"/>
              <w:left w:val="nil"/>
              <w:bottom w:val="single" w:sz="4" w:space="0" w:color="auto"/>
              <w:right w:val="single" w:sz="4" w:space="0" w:color="auto"/>
            </w:tcBorders>
            <w:shd w:val="clear" w:color="000000" w:fill="FCE4D6"/>
            <w:vAlign w:val="center"/>
            <w:hideMark/>
          </w:tcPr>
          <w:p w14:paraId="0FCCAB57"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K73.2018.4</w:t>
            </w:r>
          </w:p>
        </w:tc>
        <w:tc>
          <w:tcPr>
            <w:tcW w:w="1550" w:type="dxa"/>
            <w:tcBorders>
              <w:top w:val="nil"/>
              <w:left w:val="nil"/>
              <w:bottom w:val="single" w:sz="4" w:space="0" w:color="auto"/>
              <w:right w:val="single" w:sz="4" w:space="0" w:color="auto"/>
            </w:tcBorders>
            <w:shd w:val="clear" w:color="000000" w:fill="FCE4D6"/>
            <w:vAlign w:val="center"/>
            <w:hideMark/>
          </w:tcPr>
          <w:p w14:paraId="39D5E5AC"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HCl</w:t>
            </w:r>
            <w:r w:rsidRPr="009D4456">
              <w:rPr>
                <w:rFonts w:asciiTheme="minorHAnsi" w:hAnsiTheme="minorHAnsi" w:cstheme="minorHAnsi"/>
                <w:snapToGrid/>
                <w:color w:val="000000" w:themeColor="text1"/>
                <w:szCs w:val="22"/>
                <w:lang w:val="en-US" w:eastAsia="en-US"/>
              </w:rPr>
              <w:br/>
              <w:t>(PTB)</w:t>
            </w:r>
          </w:p>
        </w:tc>
        <w:tc>
          <w:tcPr>
            <w:tcW w:w="1395" w:type="dxa"/>
            <w:tcBorders>
              <w:top w:val="nil"/>
              <w:left w:val="nil"/>
              <w:bottom w:val="single" w:sz="4" w:space="0" w:color="auto"/>
              <w:right w:val="single" w:sz="4" w:space="0" w:color="auto"/>
            </w:tcBorders>
            <w:shd w:val="clear" w:color="000000" w:fill="EDEDED"/>
            <w:vAlign w:val="center"/>
            <w:hideMark/>
          </w:tcPr>
          <w:p w14:paraId="5DD8D2BF"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r w:rsidR="007D3CB9" w:rsidRPr="002D7730" w14:paraId="306049BD" w14:textId="77777777" w:rsidTr="00A066A6">
        <w:trPr>
          <w:trHeight w:val="960"/>
        </w:trPr>
        <w:tc>
          <w:tcPr>
            <w:tcW w:w="1067" w:type="dxa"/>
            <w:tcBorders>
              <w:top w:val="nil"/>
              <w:left w:val="single" w:sz="4" w:space="0" w:color="auto"/>
              <w:bottom w:val="nil"/>
              <w:right w:val="single" w:sz="4" w:space="0" w:color="auto"/>
            </w:tcBorders>
            <w:shd w:val="clear" w:color="000000" w:fill="FFFFFF"/>
            <w:vAlign w:val="center"/>
            <w:hideMark/>
          </w:tcPr>
          <w:p w14:paraId="12C209F8"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2025</w:t>
            </w:r>
          </w:p>
        </w:tc>
        <w:tc>
          <w:tcPr>
            <w:tcW w:w="1574" w:type="dxa"/>
            <w:tcBorders>
              <w:top w:val="single" w:sz="4" w:space="0" w:color="auto"/>
              <w:left w:val="nil"/>
              <w:bottom w:val="single" w:sz="4" w:space="0" w:color="auto"/>
              <w:right w:val="single" w:sz="4" w:space="0" w:color="auto"/>
            </w:tcBorders>
            <w:shd w:val="clear" w:color="000000" w:fill="FFF2CC"/>
            <w:vAlign w:val="center"/>
            <w:hideMark/>
          </w:tcPr>
          <w:p w14:paraId="39051E13"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EURAMET.QM-K91.2022</w:t>
            </w:r>
          </w:p>
        </w:tc>
        <w:tc>
          <w:tcPr>
            <w:tcW w:w="1641" w:type="dxa"/>
            <w:tcBorders>
              <w:top w:val="nil"/>
              <w:left w:val="nil"/>
              <w:bottom w:val="single" w:sz="4" w:space="0" w:color="auto"/>
              <w:right w:val="single" w:sz="4" w:space="0" w:color="auto"/>
            </w:tcBorders>
            <w:shd w:val="clear" w:color="000000" w:fill="FFF2CC"/>
            <w:vAlign w:val="center"/>
            <w:hideMark/>
          </w:tcPr>
          <w:p w14:paraId="145F9479" w14:textId="11330414"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proofErr w:type="spellStart"/>
            <w:r w:rsidRPr="009D4456">
              <w:rPr>
                <w:rFonts w:asciiTheme="minorHAnsi" w:hAnsiTheme="minorHAnsi" w:cstheme="minorHAnsi"/>
                <w:snapToGrid/>
                <w:color w:val="000000" w:themeColor="text1"/>
                <w:szCs w:val="22"/>
                <w:lang w:val="en-US" w:eastAsia="en-US"/>
              </w:rPr>
              <w:t>phtalate</w:t>
            </w:r>
            <w:proofErr w:type="spellEnd"/>
            <w:r w:rsidRPr="009D4456">
              <w:rPr>
                <w:rFonts w:asciiTheme="minorHAnsi" w:hAnsiTheme="minorHAnsi" w:cstheme="minorHAnsi"/>
                <w:snapToGrid/>
                <w:color w:val="000000" w:themeColor="text1"/>
                <w:szCs w:val="22"/>
                <w:lang w:val="en-US" w:eastAsia="en-US"/>
              </w:rPr>
              <w:br/>
              <w:t>(</w:t>
            </w:r>
            <w:r w:rsidR="008B0CA6" w:rsidRPr="002D7730">
              <w:rPr>
                <w:rFonts w:asciiTheme="minorHAnsi" w:hAnsiTheme="minorHAnsi" w:cstheme="minorHAnsi"/>
                <w:snapToGrid/>
                <w:color w:val="000000" w:themeColor="text1"/>
                <w:szCs w:val="22"/>
                <w:lang w:val="en-US" w:eastAsia="en-US"/>
              </w:rPr>
              <w:t>LNE</w:t>
            </w:r>
            <w:r w:rsidRPr="009D4456">
              <w:rPr>
                <w:rFonts w:asciiTheme="minorHAnsi" w:hAnsiTheme="minorHAnsi" w:cstheme="minorHAnsi"/>
                <w:snapToGrid/>
                <w:color w:val="000000" w:themeColor="text1"/>
                <w:szCs w:val="22"/>
                <w:lang w:val="en-US" w:eastAsia="en-US"/>
              </w:rPr>
              <w:t>/PTB)</w:t>
            </w:r>
          </w:p>
        </w:tc>
        <w:tc>
          <w:tcPr>
            <w:tcW w:w="1574" w:type="dxa"/>
            <w:tcBorders>
              <w:top w:val="nil"/>
              <w:left w:val="nil"/>
              <w:bottom w:val="single" w:sz="4" w:space="0" w:color="auto"/>
              <w:right w:val="single" w:sz="4" w:space="0" w:color="auto"/>
            </w:tcBorders>
            <w:shd w:val="clear" w:color="000000" w:fill="DDEBF7"/>
            <w:vAlign w:val="center"/>
            <w:hideMark/>
          </w:tcPr>
          <w:p w14:paraId="31CFAA11"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970" w:type="dxa"/>
            <w:tcBorders>
              <w:top w:val="nil"/>
              <w:left w:val="nil"/>
              <w:bottom w:val="single" w:sz="4" w:space="0" w:color="auto"/>
              <w:right w:val="single" w:sz="4" w:space="0" w:color="auto"/>
            </w:tcBorders>
            <w:shd w:val="clear" w:color="000000" w:fill="DDEBF7"/>
            <w:vAlign w:val="center"/>
            <w:hideMark/>
          </w:tcPr>
          <w:p w14:paraId="06BC2C4A"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273" w:type="dxa"/>
            <w:tcBorders>
              <w:top w:val="nil"/>
              <w:left w:val="nil"/>
              <w:bottom w:val="single" w:sz="4" w:space="0" w:color="auto"/>
              <w:right w:val="single" w:sz="4" w:space="0" w:color="auto"/>
            </w:tcBorders>
            <w:shd w:val="clear" w:color="000000" w:fill="FCE4D6"/>
            <w:vAlign w:val="center"/>
            <w:hideMark/>
          </w:tcPr>
          <w:p w14:paraId="7BFBCBC0"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proofErr w:type="spellStart"/>
            <w:r w:rsidRPr="009D4456">
              <w:rPr>
                <w:rFonts w:asciiTheme="minorHAnsi" w:hAnsiTheme="minorHAnsi" w:cstheme="minorHAnsi"/>
                <w:snapToGrid/>
                <w:color w:val="000000" w:themeColor="text1"/>
                <w:szCs w:val="22"/>
                <w:lang w:val="en-US" w:eastAsia="en-US"/>
              </w:rPr>
              <w:t>Kxxx</w:t>
            </w:r>
            <w:proofErr w:type="spellEnd"/>
          </w:p>
        </w:tc>
        <w:tc>
          <w:tcPr>
            <w:tcW w:w="1550" w:type="dxa"/>
            <w:tcBorders>
              <w:top w:val="nil"/>
              <w:left w:val="nil"/>
              <w:bottom w:val="single" w:sz="4" w:space="0" w:color="auto"/>
              <w:right w:val="single" w:sz="4" w:space="0" w:color="auto"/>
            </w:tcBorders>
            <w:shd w:val="clear" w:color="000000" w:fill="FCE4D6"/>
            <w:vAlign w:val="center"/>
            <w:hideMark/>
          </w:tcPr>
          <w:p w14:paraId="05C47FC9" w14:textId="58D1381D"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EDTA</w:t>
            </w:r>
            <w:r w:rsidRPr="009D4456">
              <w:rPr>
                <w:rFonts w:asciiTheme="minorHAnsi" w:hAnsiTheme="minorHAnsi" w:cstheme="minorHAnsi"/>
                <w:snapToGrid/>
                <w:color w:val="000000" w:themeColor="text1"/>
                <w:szCs w:val="22"/>
                <w:lang w:val="en-US" w:eastAsia="en-US"/>
              </w:rPr>
              <w:br/>
              <w:t>(KRISS)</w:t>
            </w:r>
          </w:p>
        </w:tc>
        <w:tc>
          <w:tcPr>
            <w:tcW w:w="1395" w:type="dxa"/>
            <w:tcBorders>
              <w:top w:val="nil"/>
              <w:left w:val="nil"/>
              <w:bottom w:val="single" w:sz="4" w:space="0" w:color="auto"/>
              <w:right w:val="single" w:sz="4" w:space="0" w:color="auto"/>
            </w:tcBorders>
            <w:shd w:val="clear" w:color="000000" w:fill="EDEDED"/>
            <w:vAlign w:val="center"/>
            <w:hideMark/>
          </w:tcPr>
          <w:p w14:paraId="5E66FF62" w14:textId="0274A852"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pH &gt;11</w:t>
            </w:r>
            <w:r w:rsidRPr="009D4456">
              <w:rPr>
                <w:rFonts w:asciiTheme="minorHAnsi" w:hAnsiTheme="minorHAnsi" w:cstheme="minorHAnsi"/>
                <w:snapToGrid/>
                <w:color w:val="000000" w:themeColor="text1"/>
                <w:szCs w:val="22"/>
                <w:lang w:val="en-US" w:eastAsia="en-US"/>
              </w:rPr>
              <w:br/>
              <w:t>(PTB)</w:t>
            </w:r>
          </w:p>
        </w:tc>
      </w:tr>
      <w:tr w:rsidR="007D3CB9" w:rsidRPr="002D7730" w14:paraId="12C76DE4" w14:textId="77777777" w:rsidTr="00A066A6">
        <w:trPr>
          <w:trHeight w:val="600"/>
        </w:trPr>
        <w:tc>
          <w:tcPr>
            <w:tcW w:w="1067" w:type="dxa"/>
            <w:tcBorders>
              <w:top w:val="nil"/>
              <w:left w:val="single" w:sz="4" w:space="0" w:color="auto"/>
              <w:bottom w:val="single" w:sz="4" w:space="0" w:color="auto"/>
              <w:right w:val="single" w:sz="4" w:space="0" w:color="auto"/>
            </w:tcBorders>
            <w:shd w:val="clear" w:color="000000" w:fill="FFFFFF"/>
            <w:vAlign w:val="center"/>
            <w:hideMark/>
          </w:tcPr>
          <w:p w14:paraId="78F9AA27"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74" w:type="dxa"/>
            <w:tcBorders>
              <w:top w:val="nil"/>
              <w:left w:val="nil"/>
              <w:bottom w:val="single" w:sz="4" w:space="0" w:color="auto"/>
              <w:right w:val="single" w:sz="4" w:space="0" w:color="auto"/>
            </w:tcBorders>
            <w:shd w:val="clear" w:color="000000" w:fill="FFF2CC"/>
            <w:vAlign w:val="center"/>
            <w:hideMark/>
          </w:tcPr>
          <w:p w14:paraId="1D0199D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K20.2025</w:t>
            </w:r>
          </w:p>
        </w:tc>
        <w:tc>
          <w:tcPr>
            <w:tcW w:w="1641" w:type="dxa"/>
            <w:tcBorders>
              <w:top w:val="nil"/>
              <w:left w:val="nil"/>
              <w:bottom w:val="single" w:sz="4" w:space="0" w:color="auto"/>
              <w:right w:val="single" w:sz="4" w:space="0" w:color="auto"/>
            </w:tcBorders>
            <w:shd w:val="clear" w:color="000000" w:fill="FFF2CC"/>
            <w:vAlign w:val="center"/>
            <w:hideMark/>
          </w:tcPr>
          <w:p w14:paraId="6177E116" w14:textId="2658D1AA"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proofErr w:type="spellStart"/>
            <w:r w:rsidRPr="009D4456">
              <w:rPr>
                <w:rFonts w:asciiTheme="minorHAnsi" w:hAnsiTheme="minorHAnsi" w:cstheme="minorHAnsi"/>
                <w:snapToGrid/>
                <w:color w:val="000000" w:themeColor="text1"/>
                <w:szCs w:val="22"/>
                <w:lang w:val="en-US" w:eastAsia="en-US"/>
              </w:rPr>
              <w:t>Tetroxalate</w:t>
            </w:r>
            <w:proofErr w:type="spellEnd"/>
            <w:r w:rsidRPr="009D4456">
              <w:rPr>
                <w:rFonts w:asciiTheme="minorHAnsi" w:hAnsiTheme="minorHAnsi" w:cstheme="minorHAnsi"/>
                <w:snapToGrid/>
                <w:color w:val="000000" w:themeColor="text1"/>
                <w:szCs w:val="22"/>
                <w:lang w:val="en-US" w:eastAsia="en-US"/>
              </w:rPr>
              <w:br/>
              <w:t>(INMETRO</w:t>
            </w:r>
            <w:r w:rsidR="005D4379" w:rsidRPr="002D7730">
              <w:rPr>
                <w:rFonts w:asciiTheme="minorHAnsi" w:hAnsiTheme="minorHAnsi" w:cstheme="minorHAnsi"/>
                <w:snapToGrid/>
                <w:color w:val="000000" w:themeColor="text1"/>
                <w:szCs w:val="22"/>
                <w:lang w:val="en-US" w:eastAsia="en-US"/>
              </w:rPr>
              <w:t>/PTB</w:t>
            </w:r>
            <w:r w:rsidRPr="009D4456">
              <w:rPr>
                <w:rFonts w:asciiTheme="minorHAnsi" w:hAnsiTheme="minorHAnsi" w:cstheme="minorHAnsi"/>
                <w:snapToGrid/>
                <w:color w:val="000000" w:themeColor="text1"/>
                <w:szCs w:val="22"/>
                <w:lang w:val="en-US" w:eastAsia="en-US"/>
              </w:rPr>
              <w:t>)</w:t>
            </w:r>
          </w:p>
        </w:tc>
        <w:tc>
          <w:tcPr>
            <w:tcW w:w="1574" w:type="dxa"/>
            <w:tcBorders>
              <w:top w:val="nil"/>
              <w:left w:val="nil"/>
              <w:bottom w:val="single" w:sz="4" w:space="0" w:color="auto"/>
              <w:right w:val="single" w:sz="4" w:space="0" w:color="auto"/>
            </w:tcBorders>
            <w:shd w:val="clear" w:color="000000" w:fill="DDEBF7"/>
            <w:vAlign w:val="center"/>
            <w:hideMark/>
          </w:tcPr>
          <w:p w14:paraId="4F02FF3A"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970" w:type="dxa"/>
            <w:tcBorders>
              <w:top w:val="nil"/>
              <w:left w:val="nil"/>
              <w:bottom w:val="single" w:sz="4" w:space="0" w:color="auto"/>
              <w:right w:val="single" w:sz="4" w:space="0" w:color="auto"/>
            </w:tcBorders>
            <w:shd w:val="clear" w:color="000000" w:fill="DDEBF7"/>
            <w:vAlign w:val="center"/>
            <w:hideMark/>
          </w:tcPr>
          <w:p w14:paraId="4106460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273" w:type="dxa"/>
            <w:tcBorders>
              <w:top w:val="nil"/>
              <w:left w:val="nil"/>
              <w:bottom w:val="single" w:sz="4" w:space="0" w:color="auto"/>
              <w:right w:val="single" w:sz="4" w:space="0" w:color="auto"/>
            </w:tcBorders>
            <w:shd w:val="clear" w:color="000000" w:fill="FCE4D6"/>
            <w:vAlign w:val="center"/>
            <w:hideMark/>
          </w:tcPr>
          <w:p w14:paraId="28B9ABAD"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50" w:type="dxa"/>
            <w:tcBorders>
              <w:top w:val="nil"/>
              <w:left w:val="nil"/>
              <w:bottom w:val="single" w:sz="4" w:space="0" w:color="auto"/>
              <w:right w:val="single" w:sz="4" w:space="0" w:color="auto"/>
            </w:tcBorders>
            <w:shd w:val="clear" w:color="000000" w:fill="FCE4D6"/>
            <w:vAlign w:val="center"/>
            <w:hideMark/>
          </w:tcPr>
          <w:p w14:paraId="75FBCE9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395" w:type="dxa"/>
            <w:tcBorders>
              <w:top w:val="nil"/>
              <w:left w:val="nil"/>
              <w:bottom w:val="single" w:sz="4" w:space="0" w:color="auto"/>
              <w:right w:val="single" w:sz="4" w:space="0" w:color="auto"/>
            </w:tcBorders>
            <w:shd w:val="clear" w:color="000000" w:fill="EDEDED"/>
            <w:vAlign w:val="center"/>
            <w:hideMark/>
          </w:tcPr>
          <w:p w14:paraId="58320A71"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r w:rsidR="007D3CB9" w:rsidRPr="002D7730" w14:paraId="6218D905" w14:textId="77777777" w:rsidTr="00A066A6">
        <w:trPr>
          <w:trHeight w:val="900"/>
        </w:trPr>
        <w:tc>
          <w:tcPr>
            <w:tcW w:w="1067" w:type="dxa"/>
            <w:tcBorders>
              <w:top w:val="nil"/>
              <w:left w:val="single" w:sz="4" w:space="0" w:color="auto"/>
              <w:bottom w:val="single" w:sz="4" w:space="0" w:color="auto"/>
              <w:right w:val="single" w:sz="4" w:space="0" w:color="auto"/>
            </w:tcBorders>
            <w:shd w:val="clear" w:color="000000" w:fill="FFFFFF"/>
            <w:vAlign w:val="center"/>
            <w:hideMark/>
          </w:tcPr>
          <w:p w14:paraId="07CF7955"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2026</w:t>
            </w:r>
          </w:p>
        </w:tc>
        <w:tc>
          <w:tcPr>
            <w:tcW w:w="1574" w:type="dxa"/>
            <w:tcBorders>
              <w:top w:val="single" w:sz="4" w:space="0" w:color="auto"/>
              <w:left w:val="nil"/>
              <w:bottom w:val="single" w:sz="4" w:space="0" w:color="auto"/>
              <w:right w:val="single" w:sz="4" w:space="0" w:color="auto"/>
            </w:tcBorders>
            <w:shd w:val="clear" w:color="000000" w:fill="FFE699"/>
            <w:vAlign w:val="center"/>
            <w:hideMark/>
          </w:tcPr>
          <w:p w14:paraId="3D6E5984"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proofErr w:type="spellStart"/>
            <w:r w:rsidRPr="009D4456">
              <w:rPr>
                <w:rFonts w:asciiTheme="minorHAnsi" w:hAnsiTheme="minorHAnsi" w:cstheme="minorHAnsi"/>
                <w:snapToGrid/>
                <w:color w:val="000000" w:themeColor="text1"/>
                <w:szCs w:val="22"/>
                <w:lang w:val="en-US" w:eastAsia="en-US"/>
              </w:rPr>
              <w:t>K.xxx</w:t>
            </w:r>
            <w:proofErr w:type="spellEnd"/>
          </w:p>
        </w:tc>
        <w:tc>
          <w:tcPr>
            <w:tcW w:w="1641" w:type="dxa"/>
            <w:tcBorders>
              <w:top w:val="nil"/>
              <w:left w:val="nil"/>
              <w:bottom w:val="single" w:sz="4" w:space="0" w:color="auto"/>
              <w:right w:val="single" w:sz="4" w:space="0" w:color="auto"/>
            </w:tcBorders>
            <w:shd w:val="clear" w:color="000000" w:fill="FFE699"/>
            <w:vAlign w:val="center"/>
            <w:hideMark/>
          </w:tcPr>
          <w:p w14:paraId="4D6CFA2A" w14:textId="3F36FDDA"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Tris/seawater</w:t>
            </w:r>
            <w:r w:rsidRPr="009D4456">
              <w:rPr>
                <w:rFonts w:asciiTheme="minorHAnsi" w:hAnsiTheme="minorHAnsi" w:cstheme="minorHAnsi"/>
                <w:snapToGrid/>
                <w:color w:val="000000" w:themeColor="text1"/>
                <w:szCs w:val="22"/>
                <w:lang w:val="en-US" w:eastAsia="en-US"/>
              </w:rPr>
              <w:br/>
              <w:t>(</w:t>
            </w:r>
            <w:proofErr w:type="spellStart"/>
            <w:r w:rsidR="008B0CA6" w:rsidRPr="002D7730">
              <w:rPr>
                <w:rFonts w:asciiTheme="minorHAnsi" w:hAnsiTheme="minorHAnsi" w:cstheme="minorHAnsi"/>
                <w:snapToGrid/>
                <w:color w:val="000000" w:themeColor="text1"/>
                <w:szCs w:val="22"/>
                <w:lang w:val="en-US" w:eastAsia="en-US"/>
              </w:rPr>
              <w:t>tbd</w:t>
            </w:r>
            <w:proofErr w:type="spellEnd"/>
            <w:r w:rsidRPr="009D4456">
              <w:rPr>
                <w:rFonts w:asciiTheme="minorHAnsi" w:hAnsiTheme="minorHAnsi" w:cstheme="minorHAnsi"/>
                <w:snapToGrid/>
                <w:color w:val="000000" w:themeColor="text1"/>
                <w:szCs w:val="22"/>
                <w:lang w:val="en-US" w:eastAsia="en-US"/>
              </w:rPr>
              <w:t>)</w:t>
            </w:r>
          </w:p>
        </w:tc>
        <w:tc>
          <w:tcPr>
            <w:tcW w:w="1574" w:type="dxa"/>
            <w:tcBorders>
              <w:top w:val="nil"/>
              <w:left w:val="nil"/>
              <w:bottom w:val="single" w:sz="4" w:space="0" w:color="auto"/>
              <w:right w:val="single" w:sz="4" w:space="0" w:color="auto"/>
            </w:tcBorders>
            <w:shd w:val="clear" w:color="000000" w:fill="DDEBF7"/>
            <w:vAlign w:val="center"/>
            <w:hideMark/>
          </w:tcPr>
          <w:p w14:paraId="68C5F59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EURAMET.QM-</w:t>
            </w:r>
            <w:proofErr w:type="spellStart"/>
            <w:r w:rsidRPr="009D4456">
              <w:rPr>
                <w:rFonts w:asciiTheme="minorHAnsi" w:hAnsiTheme="minorHAnsi" w:cstheme="minorHAnsi"/>
                <w:snapToGrid/>
                <w:color w:val="000000" w:themeColor="text1"/>
                <w:szCs w:val="22"/>
                <w:lang w:val="en-US" w:eastAsia="en-US"/>
              </w:rPr>
              <w:t>Kxxx</w:t>
            </w:r>
            <w:proofErr w:type="spellEnd"/>
          </w:p>
        </w:tc>
        <w:tc>
          <w:tcPr>
            <w:tcW w:w="1970" w:type="dxa"/>
            <w:tcBorders>
              <w:top w:val="nil"/>
              <w:left w:val="nil"/>
              <w:bottom w:val="single" w:sz="4" w:space="0" w:color="auto"/>
              <w:right w:val="single" w:sz="4" w:space="0" w:color="auto"/>
            </w:tcBorders>
            <w:shd w:val="clear" w:color="000000" w:fill="DDEBF7"/>
            <w:vAlign w:val="center"/>
            <w:hideMark/>
          </w:tcPr>
          <w:p w14:paraId="0D6BCE58" w14:textId="2ED9BB06"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0.05 S/m (</w:t>
            </w:r>
            <w:proofErr w:type="spellStart"/>
            <w:r w:rsidRPr="009D4456">
              <w:rPr>
                <w:rFonts w:asciiTheme="minorHAnsi" w:hAnsiTheme="minorHAnsi" w:cstheme="minorHAnsi"/>
                <w:snapToGrid/>
                <w:color w:val="000000" w:themeColor="text1"/>
                <w:szCs w:val="22"/>
                <w:lang w:val="en-US" w:eastAsia="en-US"/>
              </w:rPr>
              <w:t>KCl</w:t>
            </w:r>
            <w:proofErr w:type="spellEnd"/>
            <w:r w:rsidRPr="009D4456">
              <w:rPr>
                <w:rFonts w:asciiTheme="minorHAnsi" w:hAnsiTheme="minorHAnsi" w:cstheme="minorHAnsi"/>
                <w:snapToGrid/>
                <w:color w:val="000000" w:themeColor="text1"/>
                <w:szCs w:val="22"/>
                <w:lang w:val="en-US" w:eastAsia="en-US"/>
              </w:rPr>
              <w:t>)</w:t>
            </w:r>
            <w:r w:rsidRPr="009D4456">
              <w:rPr>
                <w:rFonts w:asciiTheme="minorHAnsi" w:hAnsiTheme="minorHAnsi" w:cstheme="minorHAnsi"/>
                <w:snapToGrid/>
                <w:color w:val="000000" w:themeColor="text1"/>
                <w:szCs w:val="22"/>
                <w:lang w:val="en-US" w:eastAsia="en-US"/>
              </w:rPr>
              <w:br/>
              <w:t>5 S/m (</w:t>
            </w:r>
            <w:proofErr w:type="spellStart"/>
            <w:r w:rsidRPr="009D4456">
              <w:rPr>
                <w:rFonts w:asciiTheme="minorHAnsi" w:hAnsiTheme="minorHAnsi" w:cstheme="minorHAnsi"/>
                <w:snapToGrid/>
                <w:color w:val="000000" w:themeColor="text1"/>
                <w:szCs w:val="22"/>
                <w:lang w:val="en-US" w:eastAsia="en-US"/>
              </w:rPr>
              <w:t>KCl</w:t>
            </w:r>
            <w:proofErr w:type="spellEnd"/>
            <w:r w:rsidRPr="009D4456">
              <w:rPr>
                <w:rFonts w:asciiTheme="minorHAnsi" w:hAnsiTheme="minorHAnsi" w:cstheme="minorHAnsi"/>
                <w:snapToGrid/>
                <w:color w:val="000000" w:themeColor="text1"/>
                <w:szCs w:val="22"/>
                <w:lang w:val="en-US" w:eastAsia="en-US"/>
              </w:rPr>
              <w:t>)</w:t>
            </w:r>
            <w:r w:rsidR="00722CBD" w:rsidRPr="002D7730">
              <w:rPr>
                <w:rFonts w:asciiTheme="minorHAnsi" w:hAnsiTheme="minorHAnsi" w:cstheme="minorHAnsi"/>
                <w:snapToGrid/>
                <w:color w:val="000000" w:themeColor="text1"/>
                <w:szCs w:val="22"/>
                <w:lang w:val="en-US" w:eastAsia="en-US"/>
              </w:rPr>
              <w:t xml:space="preserve"> </w:t>
            </w:r>
            <w:r w:rsidRPr="009D4456">
              <w:rPr>
                <w:rFonts w:asciiTheme="minorHAnsi" w:hAnsiTheme="minorHAnsi" w:cstheme="minorHAnsi"/>
                <w:snapToGrid/>
                <w:color w:val="000000" w:themeColor="text1"/>
                <w:szCs w:val="22"/>
                <w:lang w:val="en-US" w:eastAsia="en-US"/>
              </w:rPr>
              <w:t>(</w:t>
            </w:r>
            <w:proofErr w:type="spellStart"/>
            <w:r w:rsidRPr="009D4456">
              <w:rPr>
                <w:rFonts w:asciiTheme="minorHAnsi" w:hAnsiTheme="minorHAnsi" w:cstheme="minorHAnsi"/>
                <w:snapToGrid/>
                <w:color w:val="000000" w:themeColor="text1"/>
                <w:szCs w:val="22"/>
                <w:lang w:val="en-US" w:eastAsia="en-US"/>
              </w:rPr>
              <w:t>tbd</w:t>
            </w:r>
            <w:proofErr w:type="spellEnd"/>
            <w:r w:rsidRPr="009D4456">
              <w:rPr>
                <w:rFonts w:asciiTheme="minorHAnsi" w:hAnsiTheme="minorHAnsi" w:cstheme="minorHAnsi"/>
                <w:snapToGrid/>
                <w:color w:val="000000" w:themeColor="text1"/>
                <w:szCs w:val="22"/>
                <w:lang w:val="en-US" w:eastAsia="en-US"/>
              </w:rPr>
              <w:t>)</w:t>
            </w:r>
          </w:p>
        </w:tc>
        <w:tc>
          <w:tcPr>
            <w:tcW w:w="1273" w:type="dxa"/>
            <w:tcBorders>
              <w:top w:val="nil"/>
              <w:left w:val="nil"/>
              <w:bottom w:val="single" w:sz="4" w:space="0" w:color="auto"/>
              <w:right w:val="single" w:sz="4" w:space="0" w:color="auto"/>
            </w:tcBorders>
            <w:shd w:val="clear" w:color="000000" w:fill="FCE4D6"/>
            <w:vAlign w:val="center"/>
            <w:hideMark/>
          </w:tcPr>
          <w:p w14:paraId="7BD7BEB0"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550" w:type="dxa"/>
            <w:tcBorders>
              <w:top w:val="nil"/>
              <w:left w:val="nil"/>
              <w:bottom w:val="single" w:sz="4" w:space="0" w:color="auto"/>
              <w:right w:val="single" w:sz="4" w:space="0" w:color="auto"/>
            </w:tcBorders>
            <w:shd w:val="clear" w:color="000000" w:fill="FCE4D6"/>
            <w:vAlign w:val="center"/>
            <w:hideMark/>
          </w:tcPr>
          <w:p w14:paraId="1EBB5309"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c>
          <w:tcPr>
            <w:tcW w:w="1395" w:type="dxa"/>
            <w:tcBorders>
              <w:top w:val="nil"/>
              <w:left w:val="nil"/>
              <w:bottom w:val="single" w:sz="4" w:space="0" w:color="auto"/>
              <w:right w:val="single" w:sz="4" w:space="0" w:color="auto"/>
            </w:tcBorders>
            <w:shd w:val="clear" w:color="000000" w:fill="EDEDED"/>
            <w:vAlign w:val="center"/>
            <w:hideMark/>
          </w:tcPr>
          <w:p w14:paraId="136D45BB" w14:textId="77777777" w:rsidR="009D4456" w:rsidRPr="009D4456" w:rsidRDefault="009D4456" w:rsidP="009D4456">
            <w:pPr>
              <w:widowControl/>
              <w:tabs>
                <w:tab w:val="clear" w:pos="7088"/>
              </w:tabs>
              <w:spacing w:after="0"/>
              <w:ind w:left="0"/>
              <w:jc w:val="center"/>
              <w:rPr>
                <w:rFonts w:asciiTheme="minorHAnsi" w:hAnsiTheme="minorHAnsi" w:cstheme="minorHAnsi"/>
                <w:snapToGrid/>
                <w:color w:val="000000" w:themeColor="text1"/>
                <w:szCs w:val="22"/>
                <w:lang w:val="en-US" w:eastAsia="en-US"/>
              </w:rPr>
            </w:pPr>
            <w:r w:rsidRPr="009D4456">
              <w:rPr>
                <w:rFonts w:asciiTheme="minorHAnsi" w:hAnsiTheme="minorHAnsi" w:cstheme="minorHAnsi"/>
                <w:snapToGrid/>
                <w:color w:val="000000" w:themeColor="text1"/>
                <w:szCs w:val="22"/>
                <w:lang w:val="en-US" w:eastAsia="en-US"/>
              </w:rPr>
              <w:t> </w:t>
            </w:r>
          </w:p>
        </w:tc>
      </w:tr>
    </w:tbl>
    <w:p w14:paraId="56D008B2" w14:textId="77777777" w:rsidR="00786738" w:rsidRDefault="00786738" w:rsidP="00925DDD"/>
    <w:p w14:paraId="3357458D" w14:textId="77777777" w:rsidR="009D4456" w:rsidRDefault="009D4456" w:rsidP="00925DDD"/>
    <w:p w14:paraId="587B2962" w14:textId="77777777" w:rsidR="0013217B" w:rsidRDefault="0013217B" w:rsidP="00925DDD">
      <w:pPr>
        <w:sectPr w:rsidR="0013217B" w:rsidSect="00077526">
          <w:footerReference w:type="default" r:id="rId13"/>
          <w:pgSz w:w="16838" w:h="11906" w:orient="landscape"/>
          <w:pgMar w:top="1417" w:right="1135" w:bottom="849" w:left="1276" w:header="720" w:footer="720" w:gutter="0"/>
          <w:cols w:space="720"/>
          <w:docGrid w:linePitch="299"/>
        </w:sectPr>
      </w:pPr>
    </w:p>
    <w:p w14:paraId="3D1B7139" w14:textId="56E93208" w:rsidR="00D802B6" w:rsidRPr="00217796" w:rsidRDefault="00122F05" w:rsidP="00217796">
      <w:pPr>
        <w:pStyle w:val="berschrift1"/>
      </w:pPr>
      <w:r w:rsidRPr="00217796">
        <w:lastRenderedPageBreak/>
        <w:t>CMC</w:t>
      </w:r>
      <w:r w:rsidR="00CB62C4">
        <w:t xml:space="preserve"> </w:t>
      </w:r>
      <w:r w:rsidR="00726963">
        <w:t xml:space="preserve">and KC </w:t>
      </w:r>
      <w:r w:rsidR="00650EB9">
        <w:t>topics</w:t>
      </w:r>
    </w:p>
    <w:p w14:paraId="4EF99B7E" w14:textId="6B9DE685" w:rsidR="005C12CF" w:rsidRDefault="005C12CF" w:rsidP="000F24F0">
      <w:pPr>
        <w:pStyle w:val="berschrift2"/>
      </w:pPr>
      <w:r>
        <w:t>Feedback from KCDB</w:t>
      </w:r>
    </w:p>
    <w:p w14:paraId="08601F1D" w14:textId="69D7F9F4" w:rsidR="00F62E13" w:rsidRDefault="00F62E13" w:rsidP="00F62E13">
      <w:r>
        <w:t xml:space="preserve">T. </w:t>
      </w:r>
      <w:proofErr w:type="spellStart"/>
      <w:r>
        <w:t>Asakai</w:t>
      </w:r>
      <w:proofErr w:type="spellEnd"/>
      <w:r>
        <w:t xml:space="preserve">, who is the representative of EAWG </w:t>
      </w:r>
      <w:r w:rsidR="004309DC">
        <w:t xml:space="preserve">at the KCWG, </w:t>
      </w:r>
      <w:r>
        <w:t xml:space="preserve">reported from the KCWG meeting held 20-21 April 2024. 20 CMCs have been submitted </w:t>
      </w:r>
      <w:proofErr w:type="gramStart"/>
      <w:r>
        <w:t>in the area of</w:t>
      </w:r>
      <w:proofErr w:type="gramEnd"/>
      <w:r>
        <w:t xml:space="preserve"> EAWG. Common reviewer comments have been:</w:t>
      </w:r>
    </w:p>
    <w:p w14:paraId="6A9642A5" w14:textId="77777777" w:rsidR="00F62E13" w:rsidRPr="00DE2866" w:rsidRDefault="00F62E13" w:rsidP="00F62E13">
      <w:pPr>
        <w:numPr>
          <w:ilvl w:val="0"/>
          <w:numId w:val="15"/>
        </w:numPr>
        <w:spacing w:after="0"/>
        <w:ind w:left="714" w:hanging="357"/>
        <w:rPr>
          <w:lang w:val="en-US"/>
        </w:rPr>
      </w:pPr>
      <w:r w:rsidRPr="00DE2866">
        <w:rPr>
          <w:lang w:val="en-US"/>
        </w:rPr>
        <w:t>Missing evidence for CRM uncertainty, i.e. stability and homogeneity contribution, certificates, peer review reports or accreditation certificates etc.</w:t>
      </w:r>
    </w:p>
    <w:p w14:paraId="2187AD1A" w14:textId="2FE19ED1" w:rsidR="00F62E13" w:rsidRPr="00DE2866" w:rsidRDefault="00F62E13" w:rsidP="00F62E13">
      <w:pPr>
        <w:numPr>
          <w:ilvl w:val="0"/>
          <w:numId w:val="15"/>
        </w:numPr>
        <w:spacing w:after="0"/>
        <w:ind w:left="714" w:hanging="357"/>
        <w:rPr>
          <w:lang w:val="en-US"/>
        </w:rPr>
      </w:pPr>
      <w:r w:rsidRPr="00DE2866">
        <w:rPr>
          <w:lang w:val="en-US"/>
        </w:rPr>
        <w:t>Temperature range</w:t>
      </w:r>
      <w:r w:rsidR="006D2474">
        <w:rPr>
          <w:lang w:val="en-US"/>
        </w:rPr>
        <w:t xml:space="preserve"> </w:t>
      </w:r>
      <w:proofErr w:type="gramStart"/>
      <w:r w:rsidR="006D2474">
        <w:rPr>
          <w:lang w:val="en-US"/>
        </w:rPr>
        <w:t>not</w:t>
      </w:r>
      <w:proofErr w:type="gramEnd"/>
      <w:r w:rsidR="006D2474">
        <w:rPr>
          <w:lang w:val="en-US"/>
        </w:rPr>
        <w:t xml:space="preserve"> adequate</w:t>
      </w:r>
      <w:r w:rsidRPr="00DE2866">
        <w:rPr>
          <w:lang w:val="en-US"/>
        </w:rPr>
        <w:t xml:space="preserve">, especially for </w:t>
      </w:r>
      <w:proofErr w:type="spellStart"/>
      <w:r w:rsidRPr="00DE2866">
        <w:rPr>
          <w:lang w:val="en-US"/>
        </w:rPr>
        <w:t>pH.</w:t>
      </w:r>
      <w:proofErr w:type="spellEnd"/>
    </w:p>
    <w:p w14:paraId="6D088D44" w14:textId="2A305BEF" w:rsidR="00F62E13" w:rsidRPr="00DE2866" w:rsidRDefault="006D2474" w:rsidP="00F62E13">
      <w:pPr>
        <w:numPr>
          <w:ilvl w:val="0"/>
          <w:numId w:val="15"/>
        </w:numPr>
        <w:spacing w:after="0"/>
        <w:ind w:left="714" w:hanging="357"/>
        <w:rPr>
          <w:lang w:val="en-US"/>
        </w:rPr>
      </w:pPr>
      <w:r>
        <w:rPr>
          <w:lang w:val="en-US"/>
        </w:rPr>
        <w:t>Missing d</w:t>
      </w:r>
      <w:r w:rsidR="00F62E13" w:rsidRPr="00DE2866">
        <w:rPr>
          <w:lang w:val="en-US"/>
        </w:rPr>
        <w:t xml:space="preserve">eclaration </w:t>
      </w:r>
      <w:r w:rsidR="00F45A84">
        <w:rPr>
          <w:lang w:val="en-US"/>
        </w:rPr>
        <w:t xml:space="preserve">of </w:t>
      </w:r>
      <w:r w:rsidR="00F62E13" w:rsidRPr="00DE2866">
        <w:rPr>
          <w:lang w:val="en-US"/>
        </w:rPr>
        <w:t>Bates-Guggenheim convention</w:t>
      </w:r>
      <w:r>
        <w:rPr>
          <w:lang w:val="en-US"/>
        </w:rPr>
        <w:t xml:space="preserve"> </w:t>
      </w:r>
      <w:r w:rsidR="00F45A84">
        <w:rPr>
          <w:lang w:val="en-US"/>
        </w:rPr>
        <w:t>in the</w:t>
      </w:r>
      <w:r w:rsidR="00F62E13" w:rsidRPr="00DE2866">
        <w:rPr>
          <w:lang w:val="en-US"/>
        </w:rPr>
        <w:t xml:space="preserve"> uncertainty </w:t>
      </w:r>
      <w:r w:rsidR="00F45A84">
        <w:rPr>
          <w:lang w:val="en-US"/>
        </w:rPr>
        <w:t>of</w:t>
      </w:r>
      <w:r w:rsidR="00F62E13" w:rsidRPr="00DE2866">
        <w:rPr>
          <w:lang w:val="en-US"/>
        </w:rPr>
        <w:t xml:space="preserve"> </w:t>
      </w:r>
      <w:proofErr w:type="spellStart"/>
      <w:r w:rsidR="00F62E13" w:rsidRPr="00DE2866">
        <w:rPr>
          <w:lang w:val="en-US"/>
        </w:rPr>
        <w:t>pH.</w:t>
      </w:r>
      <w:proofErr w:type="spellEnd"/>
    </w:p>
    <w:p w14:paraId="7C206D33" w14:textId="775D4B56" w:rsidR="00F62E13" w:rsidRPr="00DE2866" w:rsidRDefault="00F45A84" w:rsidP="00F62E13">
      <w:pPr>
        <w:numPr>
          <w:ilvl w:val="0"/>
          <w:numId w:val="15"/>
        </w:numPr>
        <w:spacing w:after="0"/>
        <w:ind w:left="714" w:hanging="357"/>
        <w:rPr>
          <w:lang w:val="en-US"/>
        </w:rPr>
      </w:pPr>
      <w:r>
        <w:rPr>
          <w:lang w:val="en-US"/>
        </w:rPr>
        <w:t xml:space="preserve">Effect </w:t>
      </w:r>
      <w:r w:rsidR="00F62E13" w:rsidRPr="00DE2866">
        <w:rPr>
          <w:lang w:val="en-US"/>
        </w:rPr>
        <w:t>of atmospheric CO</w:t>
      </w:r>
      <w:r w:rsidR="00F62E13" w:rsidRPr="00DE2866">
        <w:rPr>
          <w:vertAlign w:val="subscript"/>
          <w:lang w:val="en-US"/>
        </w:rPr>
        <w:t>2</w:t>
      </w:r>
      <w:r w:rsidR="00F62E13" w:rsidRPr="00DE2866">
        <w:rPr>
          <w:lang w:val="en-US"/>
        </w:rPr>
        <w:t xml:space="preserve"> in low EC areas</w:t>
      </w:r>
      <w:r>
        <w:rPr>
          <w:lang w:val="en-US"/>
        </w:rPr>
        <w:t xml:space="preserve"> not </w:t>
      </w:r>
      <w:proofErr w:type="spellStart"/>
      <w:r>
        <w:rPr>
          <w:lang w:val="en-US"/>
        </w:rPr>
        <w:t>conisdered</w:t>
      </w:r>
      <w:proofErr w:type="spellEnd"/>
      <w:r w:rsidR="00F62E13" w:rsidRPr="00DE2866">
        <w:rPr>
          <w:lang w:val="en-US"/>
        </w:rPr>
        <w:t>.</w:t>
      </w:r>
    </w:p>
    <w:p w14:paraId="030A3557" w14:textId="2B62BCD9" w:rsidR="00F62E13" w:rsidRPr="00DE2866" w:rsidRDefault="003F78E5" w:rsidP="00F62E13">
      <w:pPr>
        <w:numPr>
          <w:ilvl w:val="0"/>
          <w:numId w:val="15"/>
        </w:numPr>
        <w:spacing w:after="0"/>
        <w:ind w:left="714" w:hanging="357"/>
        <w:rPr>
          <w:lang w:val="en-US"/>
        </w:rPr>
      </w:pPr>
      <w:r>
        <w:rPr>
          <w:lang w:val="en-US"/>
        </w:rPr>
        <w:t>M</w:t>
      </w:r>
      <w:r w:rsidR="00F62E13" w:rsidRPr="00DE2866">
        <w:rPr>
          <w:lang w:val="en-US"/>
        </w:rPr>
        <w:t>in</w:t>
      </w:r>
      <w:r w:rsidR="00EA6C0D">
        <w:rPr>
          <w:lang w:val="en-US"/>
        </w:rPr>
        <w:t>imum</w:t>
      </w:r>
      <w:r w:rsidR="00F62E13" w:rsidRPr="00DE2866">
        <w:rPr>
          <w:lang w:val="en-US"/>
        </w:rPr>
        <w:t xml:space="preserve"> uncertainty </w:t>
      </w:r>
      <w:r w:rsidR="00F344B8">
        <w:rPr>
          <w:lang w:val="en-US"/>
        </w:rPr>
        <w:t xml:space="preserve">of KC results </w:t>
      </w:r>
      <w:r w:rsidR="00EE73ED">
        <w:rPr>
          <w:lang w:val="en-US"/>
        </w:rPr>
        <w:t xml:space="preserve">inconsistent </w:t>
      </w:r>
      <w:r w:rsidR="00F62E13" w:rsidRPr="00DE2866">
        <w:rPr>
          <w:lang w:val="en-US"/>
        </w:rPr>
        <w:t>the KCRV</w:t>
      </w:r>
      <w:r w:rsidR="00F344B8">
        <w:rPr>
          <w:lang w:val="en-US"/>
        </w:rPr>
        <w:t xml:space="preserve"> not considered</w:t>
      </w:r>
      <w:r w:rsidR="00F62E13" w:rsidRPr="00DE2866">
        <w:rPr>
          <w:lang w:val="en-US"/>
        </w:rPr>
        <w:t>.</w:t>
      </w:r>
    </w:p>
    <w:p w14:paraId="39AD0F2A" w14:textId="07FDE6D2" w:rsidR="00F62E13" w:rsidRPr="00DE2866" w:rsidRDefault="00F62E13" w:rsidP="00F62E13">
      <w:pPr>
        <w:numPr>
          <w:ilvl w:val="0"/>
          <w:numId w:val="15"/>
        </w:numPr>
        <w:spacing w:after="0"/>
        <w:ind w:left="714" w:hanging="357"/>
        <w:rPr>
          <w:lang w:val="en-US"/>
        </w:rPr>
      </w:pPr>
      <w:r w:rsidRPr="00DE2866">
        <w:rPr>
          <w:lang w:val="en-US"/>
        </w:rPr>
        <w:t xml:space="preserve">Use of </w:t>
      </w:r>
      <w:r w:rsidR="00136169">
        <w:rPr>
          <w:lang w:val="en-US"/>
        </w:rPr>
        <w:t>outdated</w:t>
      </w:r>
      <w:r w:rsidRPr="00DE2866">
        <w:rPr>
          <w:lang w:val="en-US"/>
        </w:rPr>
        <w:t xml:space="preserve"> KC as the evidence.</w:t>
      </w:r>
    </w:p>
    <w:p w14:paraId="3F2B9FD1" w14:textId="77777777" w:rsidR="00F62E13" w:rsidRDefault="00F62E13" w:rsidP="00F62E13">
      <w:pPr>
        <w:rPr>
          <w:lang w:val="en-US"/>
        </w:rPr>
      </w:pPr>
    </w:p>
    <w:p w14:paraId="77C78089" w14:textId="77777777" w:rsidR="00F62E13" w:rsidRDefault="00F62E13" w:rsidP="00F62E13">
      <w:pPr>
        <w:rPr>
          <w:lang w:val="en-US"/>
        </w:rPr>
      </w:pPr>
      <w:r>
        <w:rPr>
          <w:lang w:val="en-US"/>
        </w:rPr>
        <w:t xml:space="preserve">KCWG has discussed </w:t>
      </w:r>
      <w:proofErr w:type="gramStart"/>
      <w:r>
        <w:rPr>
          <w:lang w:val="en-US"/>
        </w:rPr>
        <w:t>to update</w:t>
      </w:r>
      <w:proofErr w:type="gramEnd"/>
      <w:r>
        <w:rPr>
          <w:lang w:val="en-US"/>
        </w:rPr>
        <w:t xml:space="preserve"> the categories and especially the subcategories. EAWG has decided that there is no need for a change with respect to EAWG.</w:t>
      </w:r>
    </w:p>
    <w:p w14:paraId="0532CC11" w14:textId="3B9AFD68" w:rsidR="005C12CF" w:rsidRDefault="00F62E13" w:rsidP="00F62E13">
      <w:pPr>
        <w:rPr>
          <w:lang w:val="en-US"/>
        </w:rPr>
      </w:pPr>
      <w:r>
        <w:rPr>
          <w:lang w:val="en-US"/>
        </w:rPr>
        <w:t>There has been a discussion on understanding and assigning the correct uncertainty convention to CMCs. It is recommended to apply uncertainty convention 1 to pH CMCs, and uncertainty convention 2 to conductivity CMCs.</w:t>
      </w:r>
    </w:p>
    <w:p w14:paraId="469B1303" w14:textId="355320C6" w:rsidR="005B64A8" w:rsidRPr="005C12CF" w:rsidRDefault="005B64A8" w:rsidP="00F62E13">
      <w:r>
        <w:rPr>
          <w:lang w:val="en-US"/>
        </w:rPr>
        <w:t xml:space="preserve">The chair has encouraged EAWG members to </w:t>
      </w:r>
      <w:r w:rsidR="002A0779">
        <w:rPr>
          <w:lang w:val="en-US"/>
        </w:rPr>
        <w:t xml:space="preserve">thoroughly read and </w:t>
      </w:r>
      <w:r w:rsidR="00EC782A">
        <w:rPr>
          <w:lang w:val="en-US"/>
        </w:rPr>
        <w:t>consider</w:t>
      </w:r>
      <w:r w:rsidR="002A0779">
        <w:rPr>
          <w:lang w:val="en-US"/>
        </w:rPr>
        <w:t xml:space="preserve"> the</w:t>
      </w:r>
      <w:r>
        <w:rPr>
          <w:lang w:val="en-US"/>
        </w:rPr>
        <w:t xml:space="preserve"> </w:t>
      </w:r>
      <w:r w:rsidR="002A0779">
        <w:rPr>
          <w:lang w:val="en-US"/>
        </w:rPr>
        <w:t xml:space="preserve">EAWG CMC guidelines before CMC submission to </w:t>
      </w:r>
      <w:r w:rsidR="00AB21D7">
        <w:rPr>
          <w:lang w:val="en-US"/>
        </w:rPr>
        <w:t xml:space="preserve">accelerate </w:t>
      </w:r>
      <w:r w:rsidR="00EC782A">
        <w:rPr>
          <w:lang w:val="en-US"/>
        </w:rPr>
        <w:t xml:space="preserve">their </w:t>
      </w:r>
      <w:r w:rsidR="00AB21D7">
        <w:rPr>
          <w:lang w:val="en-US"/>
        </w:rPr>
        <w:t>approval.</w:t>
      </w:r>
    </w:p>
    <w:p w14:paraId="2664AA2F" w14:textId="391AAA07" w:rsidR="000F24F0" w:rsidRDefault="000F24F0" w:rsidP="000F24F0">
      <w:pPr>
        <w:pStyle w:val="berschrift2"/>
      </w:pPr>
      <w:r>
        <w:t xml:space="preserve">Revision of </w:t>
      </w:r>
      <w:r w:rsidR="002459A1">
        <w:t xml:space="preserve">EAWG </w:t>
      </w:r>
      <w:r>
        <w:t>CMC guidelines</w:t>
      </w:r>
    </w:p>
    <w:p w14:paraId="2133AF33" w14:textId="4AB64C16" w:rsidR="00F5544E" w:rsidRDefault="00680F0C" w:rsidP="00E94E2B">
      <w:r w:rsidRPr="00680F0C">
        <w:t xml:space="preserve">A draft of a revised version (v16) of the CMC guidelines of EAWG has been sent to EAWG members before the </w:t>
      </w:r>
      <w:r w:rsidR="001C793C">
        <w:t>April</w:t>
      </w:r>
      <w:r w:rsidR="00236A90">
        <w:t xml:space="preserve"> and the October meeting in 2024</w:t>
      </w:r>
      <w:r w:rsidRPr="00680F0C">
        <w:t xml:space="preserve">. S. Seitz has </w:t>
      </w:r>
      <w:r w:rsidR="00C06CB6">
        <w:t>explained the revised items during the meeting</w:t>
      </w:r>
      <w:r w:rsidR="00B308E4">
        <w:t>s</w:t>
      </w:r>
      <w:r w:rsidRPr="00680F0C">
        <w:t xml:space="preserve">. </w:t>
      </w:r>
      <w:r w:rsidR="005B64A8">
        <w:t xml:space="preserve">They have </w:t>
      </w:r>
      <w:proofErr w:type="spellStart"/>
      <w:r w:rsidR="005B64A8">
        <w:t>co</w:t>
      </w:r>
      <w:r w:rsidRPr="00680F0C">
        <w:t>They</w:t>
      </w:r>
      <w:proofErr w:type="spellEnd"/>
      <w:r w:rsidRPr="00680F0C">
        <w:t xml:space="preserve"> </w:t>
      </w:r>
      <w:r w:rsidR="00906D23">
        <w:t>wer</w:t>
      </w:r>
      <w:r w:rsidRPr="00680F0C">
        <w:t xml:space="preserve">e related to the pH section and </w:t>
      </w:r>
      <w:r w:rsidR="00906D23">
        <w:t>were</w:t>
      </w:r>
      <w:r w:rsidRPr="00680F0C">
        <w:t xml:space="preserve"> mainly intended to improve clarity and to consider a few comments from former CMC reviews.</w:t>
      </w:r>
      <w:r w:rsidR="00906D23">
        <w:t xml:space="preserve"> </w:t>
      </w:r>
      <w:r w:rsidR="00236A90">
        <w:t xml:space="preserve">The draft has been approved. Version 16 </w:t>
      </w:r>
      <w:r w:rsidR="00B308E4">
        <w:t xml:space="preserve">has been </w:t>
      </w:r>
      <w:r w:rsidR="00236A90">
        <w:t>published in the EAWG area of the BIPM website.</w:t>
      </w:r>
      <w:r w:rsidR="000D0B66">
        <w:t xml:space="preserve"> It must be used for </w:t>
      </w:r>
      <w:r w:rsidR="00D31F79">
        <w:t>the review of CMCs of EAWG members in the next review cycle.</w:t>
      </w:r>
    </w:p>
    <w:p w14:paraId="3A89A980" w14:textId="71419D29" w:rsidR="00726963" w:rsidRDefault="00792DEF" w:rsidP="00AA2AFC">
      <w:pPr>
        <w:pStyle w:val="berschrift2"/>
      </w:pPr>
      <w:r>
        <w:t>General KC issues</w:t>
      </w:r>
    </w:p>
    <w:p w14:paraId="487E4C52" w14:textId="0E166DE3" w:rsidR="00830257" w:rsidRDefault="00B94BA7" w:rsidP="00830257">
      <w:r>
        <w:t xml:space="preserve">1. </w:t>
      </w:r>
      <w:r w:rsidR="00830257">
        <w:t xml:space="preserve">Calculation of the uncertainties of the degrees of equivalence in subsequent KCs. Current calculation results in larger uncertainties compared to the original KC, which means that it is easier for participants of the subsequent KCs to be consistent with the KCRV. </w:t>
      </w:r>
      <w:r w:rsidR="005B00A1">
        <w:t>T</w:t>
      </w:r>
      <w:r w:rsidR="00830257">
        <w:t>he correlation between the results of the linking lab</w:t>
      </w:r>
      <w:r w:rsidR="005B00A1">
        <w:t xml:space="preserve"> should rather be considered</w:t>
      </w:r>
      <w:r w:rsidR="00830257">
        <w:t xml:space="preserve">. This would result in DoE uncertainties that are similarly to those of the original KC. </w:t>
      </w:r>
      <w:r w:rsidR="00E54D23">
        <w:t>However,</w:t>
      </w:r>
      <w:r w:rsidR="00830257">
        <w:t xml:space="preserve"> the quantification of the correlation coefficient</w:t>
      </w:r>
      <w:r w:rsidR="003C033A">
        <w:t xml:space="preserve"> could be challenging</w:t>
      </w:r>
      <w:r w:rsidR="00830257">
        <w:t xml:space="preserve">. </w:t>
      </w:r>
      <w:r w:rsidR="00DC1E8F">
        <w:t xml:space="preserve">It was decided to that </w:t>
      </w:r>
      <w:r w:rsidR="00830257">
        <w:t>should have a look at former subsequent KCs and recalculate U(DoE) to assess the effect.</w:t>
      </w:r>
    </w:p>
    <w:p w14:paraId="7A3C2C80" w14:textId="57507360" w:rsidR="00AA2AFC" w:rsidRDefault="00830257" w:rsidP="00830257">
      <w:r>
        <w:t>The number of participants in KCs has significantly increased in recent KCs, i.e. in pH and conductivity KCs. If unexperienced participants contribute to the KCRV calculation, this might put the soundness of the KCRV at risk. S. Seitz suggested to establish some eligibility criteria in this regard. This proposal has been discussed. There have been concerns that institutes would be excluded from participation</w:t>
      </w:r>
      <w:r w:rsidR="00D45F74">
        <w:t xml:space="preserve"> It</w:t>
      </w:r>
      <w:r>
        <w:t xml:space="preserve"> has</w:t>
      </w:r>
      <w:r w:rsidR="00D45F74">
        <w:t xml:space="preserve"> been</w:t>
      </w:r>
      <w:r>
        <w:t xml:space="preserve"> proposed to specify the institutes that would be included in KCRV calculation at the beginning of </w:t>
      </w:r>
      <w:r w:rsidR="00D45F74">
        <w:t>a</w:t>
      </w:r>
      <w:r>
        <w:t xml:space="preserve"> KC</w:t>
      </w:r>
      <w:r w:rsidR="00D45F74">
        <w:t xml:space="preserve"> on the bases of the </w:t>
      </w:r>
      <w:r w:rsidR="00835033">
        <w:t xml:space="preserve">EAWG </w:t>
      </w:r>
      <w:r w:rsidR="00D45F74">
        <w:t>record file</w:t>
      </w:r>
      <w:r>
        <w:t>.</w:t>
      </w:r>
    </w:p>
    <w:p w14:paraId="7A3AAB78" w14:textId="00ED9CE9" w:rsidR="00E65399" w:rsidRDefault="00E65399" w:rsidP="00E65399">
      <w:r>
        <w:t>EAWG-KC guidelines: At the autumn meeting it was decided that the chairs will prepare KC guidelines for EAWG addressing</w:t>
      </w:r>
      <w:r w:rsidR="0034359C">
        <w:t xml:space="preserve"> </w:t>
      </w:r>
      <w:r>
        <w:t xml:space="preserve">issues that are not covered by the </w:t>
      </w:r>
      <w:r w:rsidR="0034359C">
        <w:t xml:space="preserve">CIPM and </w:t>
      </w:r>
      <w:r>
        <w:t xml:space="preserve">CCQM KC guidelines, such as </w:t>
      </w:r>
      <w:r w:rsidR="0034359C">
        <w:t xml:space="preserve">the </w:t>
      </w:r>
      <w:r>
        <w:t>method for KCRV &amp; U(DoE) calculation</w:t>
      </w:r>
      <w:r w:rsidR="00346B8F">
        <w:t>, implementation of dark uncertainty</w:t>
      </w:r>
      <w:r>
        <w:t xml:space="preserve"> and eligibility criteria for participants to be included in KCRV calculation. A Draft has been written and distributed among EAWG before the meeting in April 2025.</w:t>
      </w:r>
    </w:p>
    <w:p w14:paraId="4CA53DA4" w14:textId="77777777" w:rsidR="00E65399" w:rsidRDefault="00E65399" w:rsidP="00830257"/>
    <w:p w14:paraId="274BBB56" w14:textId="288BA2D3" w:rsidR="00750C47" w:rsidRDefault="00750C47" w:rsidP="005A60C2">
      <w:pPr>
        <w:pStyle w:val="berschrift1"/>
      </w:pPr>
      <w:r>
        <w:lastRenderedPageBreak/>
        <w:t>Technical presentations</w:t>
      </w:r>
    </w:p>
    <w:p w14:paraId="6C61F2E2" w14:textId="3B946C09" w:rsidR="009101BC" w:rsidRDefault="009101BC" w:rsidP="00A25D35">
      <w:pPr>
        <w:pStyle w:val="berschrift2"/>
      </w:pPr>
      <w:r>
        <w:t>Biosensors</w:t>
      </w:r>
    </w:p>
    <w:p w14:paraId="31D417DA" w14:textId="445783A4" w:rsidR="009B4DF2" w:rsidRDefault="009B4DF2" w:rsidP="009B4DF2">
      <w:r>
        <w:t>A. Wain from NPL has given a presentation on the metrology of electrochemical biosensors. NPL aims to e</w:t>
      </w:r>
      <w:r w:rsidRPr="00A54EE0">
        <w:t>stablish capability to support the development and manufacturing of electrochemical and electrical biosensors</w:t>
      </w:r>
      <w:r>
        <w:t xml:space="preserve">. Many stakeholders of NPL consider the quantification of surface </w:t>
      </w:r>
      <w:proofErr w:type="spellStart"/>
      <w:r>
        <w:t>biofunctionalisation</w:t>
      </w:r>
      <w:proofErr w:type="spellEnd"/>
      <w:r>
        <w:t xml:space="preserve"> as the most important metrological challenge. To this end, NPL has investigated different kinds of sensors and measurement conditions, using electrochemical measurement techniques such as cycling voltammetry and impedance spectroscopy. A. Wain has shown results of these preliminary characterisation measurements which demonstrate a strong sensitivity of measurement stability and repeatability on various preparation and measurement conditions. Details are given in the presentation available at the EAWG area of the BIPM website. Since NPL is, besides TUBITAK-UME, the second NMI that has started activities in this area, S. Seitz has proposed that EAWG should include the topic in the scope of EAWG and reach out for respective activities in other CCQM-WGs.</w:t>
      </w:r>
    </w:p>
    <w:p w14:paraId="46214E55" w14:textId="061C9D76" w:rsidR="00F45263" w:rsidRDefault="00F45263" w:rsidP="00F45263">
      <w:pPr>
        <w:pStyle w:val="berschrift2"/>
      </w:pPr>
      <w:r>
        <w:t>EMPIR project “</w:t>
      </w:r>
      <w:proofErr w:type="spellStart"/>
      <w:r>
        <w:t>SapHTies</w:t>
      </w:r>
      <w:proofErr w:type="spellEnd"/>
      <w:r>
        <w:t>”</w:t>
      </w:r>
    </w:p>
    <w:p w14:paraId="0EC738E5" w14:textId="6102CF7E" w:rsidR="00766CAE" w:rsidRDefault="00766CAE" w:rsidP="00766CAE">
      <w:r>
        <w:t xml:space="preserve">G. Capitaine </w:t>
      </w:r>
      <w:r w:rsidR="00626438">
        <w:t xml:space="preserve">from LNE </w:t>
      </w:r>
      <w:r>
        <w:t>as summarized the outcomes of the European metrology research project “</w:t>
      </w:r>
      <w:proofErr w:type="spellStart"/>
      <w:r>
        <w:t>SapHTies</w:t>
      </w:r>
      <w:proofErr w:type="spellEnd"/>
      <w:r>
        <w:t xml:space="preserve">” which has reached the end of its runtime at the end of April 2024. The project has paved the way to establish a traceability chain for spectrophotometric measurements of the </w:t>
      </w:r>
      <w:proofErr w:type="spellStart"/>
      <w:r>
        <w:t>pH</w:t>
      </w:r>
      <w:r w:rsidRPr="006A5470">
        <w:rPr>
          <w:vertAlign w:val="subscript"/>
        </w:rPr>
        <w:t>T</w:t>
      </w:r>
      <w:proofErr w:type="spellEnd"/>
      <w:r>
        <w:t xml:space="preserve"> of seawater, to calculate reliable measurement uncertainties, and has verified the equivalence of </w:t>
      </w:r>
      <w:proofErr w:type="spellStart"/>
      <w:r>
        <w:t>pH</w:t>
      </w:r>
      <w:r w:rsidRPr="00496E0C">
        <w:rPr>
          <w:vertAlign w:val="subscript"/>
        </w:rPr>
        <w:t>T</w:t>
      </w:r>
      <w:proofErr w:type="spellEnd"/>
      <w:r>
        <w:t xml:space="preserve"> measurements by an ILC. More details are given in the presentation available at the EAWG area of the BIPM website.</w:t>
      </w:r>
    </w:p>
    <w:p w14:paraId="78510926" w14:textId="77777777" w:rsidR="002D5062" w:rsidRDefault="002D5062" w:rsidP="002D5062">
      <w:pPr>
        <w:pStyle w:val="berschrift2"/>
      </w:pPr>
      <w:r>
        <w:t>Seawater CO</w:t>
      </w:r>
      <w:r w:rsidRPr="008A07BD">
        <w:rPr>
          <w:vertAlign w:val="subscript"/>
        </w:rPr>
        <w:t>2</w:t>
      </w:r>
      <w:r>
        <w:t xml:space="preserve"> system</w:t>
      </w:r>
    </w:p>
    <w:p w14:paraId="57D8FBBA" w14:textId="1FD9E22D" w:rsidR="002D5062" w:rsidRDefault="002D5062" w:rsidP="002D5062">
      <w:r>
        <w:t>S. Seitz has presented a project proposal submitted to the Green Deal call of the European Partnership for Metrology program of EURAMET. Four quantities are measured in oceanographic research and in ocean observation with respect to the seawater CO</w:t>
      </w:r>
      <w:r w:rsidRPr="00BE0B76">
        <w:rPr>
          <w:vertAlign w:val="subscript"/>
        </w:rPr>
        <w:t>2</w:t>
      </w:r>
      <w:r>
        <w:t xml:space="preserve"> system. The provision of reliable seawater reference materials for these quantities is not guaranteed. Furthermore, the measurement results obtained in past cruised have turned out to be inconsistent. The project will address these issues. More details are given in the presentation available at the EAWG area of the BIPM website.</w:t>
      </w:r>
    </w:p>
    <w:p w14:paraId="77EB7499" w14:textId="61D69BEA" w:rsidR="00001C72" w:rsidRDefault="00001C72" w:rsidP="00001C72">
      <w:pPr>
        <w:pStyle w:val="berschrift2"/>
      </w:pPr>
      <w:r>
        <w:t xml:space="preserve">EPM project </w:t>
      </w:r>
      <w:proofErr w:type="spellStart"/>
      <w:r>
        <w:t>GrainMET</w:t>
      </w:r>
      <w:proofErr w:type="spellEnd"/>
    </w:p>
    <w:p w14:paraId="1EE50965" w14:textId="747CD103" w:rsidR="00001C72" w:rsidRDefault="00001C72" w:rsidP="00001C72">
      <w:r>
        <w:t xml:space="preserve">F. </w:t>
      </w:r>
      <w:proofErr w:type="spellStart"/>
      <w:r>
        <w:t>Durbiano</w:t>
      </w:r>
      <w:proofErr w:type="spellEnd"/>
      <w:r>
        <w:t xml:space="preserve"> </w:t>
      </w:r>
      <w:r w:rsidR="00626438">
        <w:t xml:space="preserve">from </w:t>
      </w:r>
      <w:proofErr w:type="spellStart"/>
      <w:r w:rsidR="00626438">
        <w:t>INRiMN</w:t>
      </w:r>
      <w:proofErr w:type="spellEnd"/>
      <w:r w:rsidR="00626438">
        <w:t xml:space="preserve"> </w:t>
      </w:r>
      <w:r>
        <w:t xml:space="preserve">has given a presentation on the project </w:t>
      </w:r>
      <w:proofErr w:type="spellStart"/>
      <w:r>
        <w:t>GrainMET</w:t>
      </w:r>
      <w:proofErr w:type="spellEnd"/>
      <w:r>
        <w:t xml:space="preserve"> “</w:t>
      </w:r>
      <w:r w:rsidRPr="00897178">
        <w:t>Metrology for standardised moisture content measurement in plant-origin bulk materials in support of International and European food safety and trade</w:t>
      </w:r>
      <w:r>
        <w:t xml:space="preserve">”. </w:t>
      </w:r>
      <w:r w:rsidRPr="00776585">
        <w:t>Moisture determination is necessary to support quality and fair trade in the grain market</w:t>
      </w:r>
      <w:r>
        <w:t xml:space="preserve">. The project aims to ensure consistent moisture measurements by </w:t>
      </w:r>
      <w:proofErr w:type="gramStart"/>
      <w:r>
        <w:t>a number of</w:t>
      </w:r>
      <w:proofErr w:type="gramEnd"/>
      <w:r>
        <w:t xml:space="preserve"> activities such as the establishment of coulometric Karl Fischer (KF) titration as a primary method, conducting comparisons and developing guidelines and procedures. She also presented the principles of coulometric KF and compared it volumetric KF titration.</w:t>
      </w:r>
    </w:p>
    <w:p w14:paraId="424CFD05" w14:textId="77777777" w:rsidR="009913AC" w:rsidRDefault="009913AC" w:rsidP="00955891"/>
    <w:p w14:paraId="785E3ABF" w14:textId="16C584B6" w:rsidR="009913AC" w:rsidRPr="004A5C59" w:rsidRDefault="009913AC" w:rsidP="00CB67C7">
      <w:pPr>
        <w:pStyle w:val="berschrift1"/>
      </w:pPr>
      <w:r>
        <w:t>Task groups</w:t>
      </w:r>
    </w:p>
    <w:p w14:paraId="7FA1E4B6" w14:textId="1564EE54" w:rsidR="00893C36" w:rsidRDefault="00893C36" w:rsidP="00893C36">
      <w:pPr>
        <w:pStyle w:val="berschrift2"/>
      </w:pPr>
      <w:r>
        <w:t>CCQM/EAWG TG on the e</w:t>
      </w:r>
      <w:r w:rsidRPr="00893C36">
        <w:t xml:space="preserve">stablishment of metrological traceability for seawater pH and </w:t>
      </w:r>
      <w:proofErr w:type="spellStart"/>
      <w:r w:rsidRPr="00893C36">
        <w:t>pH</w:t>
      </w:r>
      <w:r w:rsidRPr="00893C36">
        <w:rPr>
          <w:vertAlign w:val="subscript"/>
        </w:rPr>
        <w:t>T</w:t>
      </w:r>
      <w:proofErr w:type="spellEnd"/>
      <w:r w:rsidRPr="00893C36">
        <w:t xml:space="preserve"> values</w:t>
      </w:r>
    </w:p>
    <w:p w14:paraId="2A8130D8" w14:textId="1E88D478" w:rsidR="001542B3" w:rsidRPr="001542B3" w:rsidRDefault="00F349CF" w:rsidP="001542B3">
      <w:r>
        <w:t xml:space="preserve">The TG has </w:t>
      </w:r>
      <w:r w:rsidR="00B9265C">
        <w:t>met in</w:t>
      </w:r>
      <w:r w:rsidR="00630398">
        <w:t xml:space="preserve"> five</w:t>
      </w:r>
      <w:r>
        <w:t xml:space="preserve"> online meetings this year. </w:t>
      </w:r>
      <w:r w:rsidR="00312989">
        <w:t xml:space="preserve">Basically, it aims to </w:t>
      </w:r>
      <w:r w:rsidR="003619F2">
        <w:t xml:space="preserve">achieve three goals. I) Improve primary measurements of </w:t>
      </w:r>
      <w:proofErr w:type="spellStart"/>
      <w:r w:rsidR="003619F2">
        <w:t>pH</w:t>
      </w:r>
      <w:r w:rsidR="003619F2" w:rsidRPr="003619F2">
        <w:rPr>
          <w:vertAlign w:val="subscript"/>
        </w:rPr>
        <w:t>T</w:t>
      </w:r>
      <w:proofErr w:type="spellEnd"/>
      <w:r w:rsidR="003619F2">
        <w:t xml:space="preserve"> ii) </w:t>
      </w:r>
      <w:r w:rsidR="0085545A">
        <w:t xml:space="preserve">Establish proper metrological traceability </w:t>
      </w:r>
      <w:r w:rsidR="00F64F1B">
        <w:t xml:space="preserve">within the CIPM MRA </w:t>
      </w:r>
      <w:r w:rsidR="0085545A">
        <w:t xml:space="preserve">and iii) </w:t>
      </w:r>
      <w:r w:rsidR="00F64F1B">
        <w:t xml:space="preserve">engage with </w:t>
      </w:r>
      <w:r w:rsidR="001168B1">
        <w:t xml:space="preserve">relevant </w:t>
      </w:r>
      <w:r w:rsidR="00F64F1B">
        <w:t>stakeholders</w:t>
      </w:r>
      <w:r w:rsidR="001168B1">
        <w:t xml:space="preserve">. </w:t>
      </w:r>
      <w:r w:rsidR="00AC54B2">
        <w:t>The improvement of</w:t>
      </w:r>
      <w:r>
        <w:t xml:space="preserve"> </w:t>
      </w:r>
      <w:proofErr w:type="spellStart"/>
      <w:r>
        <w:t>pH</w:t>
      </w:r>
      <w:r w:rsidRPr="00490EE4">
        <w:rPr>
          <w:vertAlign w:val="subscript"/>
        </w:rPr>
        <w:t>T</w:t>
      </w:r>
      <w:proofErr w:type="spellEnd"/>
      <w:r>
        <w:t xml:space="preserve"> measurements </w:t>
      </w:r>
      <w:r w:rsidR="0032539C">
        <w:t>is delayed</w:t>
      </w:r>
      <w:r>
        <w:t xml:space="preserve"> since the report of P221 is </w:t>
      </w:r>
      <w:r w:rsidR="00AC54B2">
        <w:t xml:space="preserve">still </w:t>
      </w:r>
      <w:r>
        <w:t>not available yet</w:t>
      </w:r>
      <w:r w:rsidR="00AC54B2">
        <w:t xml:space="preserve"> (see </w:t>
      </w:r>
      <w:r w:rsidR="000765EA">
        <w:fldChar w:fldCharType="begin"/>
      </w:r>
      <w:r w:rsidR="000765EA">
        <w:instrText xml:space="preserve"> REF _Ref193526597 \r \h </w:instrText>
      </w:r>
      <w:r w:rsidR="000765EA">
        <w:fldChar w:fldCharType="separate"/>
      </w:r>
      <w:r w:rsidR="000765EA">
        <w:t>4.2</w:t>
      </w:r>
      <w:r w:rsidR="000765EA">
        <w:fldChar w:fldCharType="end"/>
      </w:r>
      <w:r w:rsidR="00AC54B2">
        <w:t>)</w:t>
      </w:r>
      <w:r>
        <w:t xml:space="preserve">. </w:t>
      </w:r>
      <w:proofErr w:type="gramStart"/>
      <w:r w:rsidR="000765EA">
        <w:t xml:space="preserve">As a </w:t>
      </w:r>
      <w:r w:rsidR="0032539C">
        <w:t>consequence</w:t>
      </w:r>
      <w:proofErr w:type="gramEnd"/>
      <w:r w:rsidR="0032539C">
        <w:t>, t</w:t>
      </w:r>
      <w:r>
        <w:t xml:space="preserve">he TG </w:t>
      </w:r>
      <w:r w:rsidR="0032539C">
        <w:lastRenderedPageBreak/>
        <w:t xml:space="preserve">has decided </w:t>
      </w:r>
      <w:r>
        <w:t xml:space="preserve">to evaluate the measurement data of P221 again, independently form the report. </w:t>
      </w:r>
      <w:r w:rsidR="0032539C">
        <w:t xml:space="preserve">T. </w:t>
      </w:r>
      <w:proofErr w:type="spellStart"/>
      <w:r w:rsidR="0032539C">
        <w:t>Asakai</w:t>
      </w:r>
      <w:proofErr w:type="spellEnd"/>
      <w:r w:rsidR="0032539C">
        <w:t xml:space="preserve"> has </w:t>
      </w:r>
      <w:r w:rsidR="005F46EF">
        <w:t xml:space="preserve">volunteered to evaluate the </w:t>
      </w:r>
      <w:r w:rsidR="00D13068">
        <w:t xml:space="preserve">results. </w:t>
      </w:r>
      <w:r w:rsidR="00B96D18" w:rsidRPr="00B96D18">
        <w:t>Unfortunately, he was unable to take on the task due to a prolonged illness.</w:t>
      </w:r>
      <w:r w:rsidR="00265C36">
        <w:t xml:space="preserve"> </w:t>
      </w:r>
      <w:r w:rsidR="00E05674">
        <w:t xml:space="preserve">It will be decided in the next meeting, how to continue. </w:t>
      </w:r>
      <w:r w:rsidR="00AB0D4E">
        <w:t xml:space="preserve">A few members of the TG meet with </w:t>
      </w:r>
      <w:r w:rsidR="007A1E2C">
        <w:t xml:space="preserve">oceanographers prior to the </w:t>
      </w:r>
      <w:r w:rsidR="007A1E2C" w:rsidRPr="007A1E2C">
        <w:t>1st Stakeholder meeting of the CIPM Sectorial Task Group on Climate and Environment</w:t>
      </w:r>
      <w:r w:rsidR="007A1E2C">
        <w:t xml:space="preserve"> in September to discuss the d</w:t>
      </w:r>
      <w:r>
        <w:t>raft of traceability document</w:t>
      </w:r>
      <w:r w:rsidR="007A1E2C">
        <w:t xml:space="preserve">. </w:t>
      </w:r>
      <w:r>
        <w:t xml:space="preserve">They </w:t>
      </w:r>
      <w:r w:rsidR="00AC27AE">
        <w:t xml:space="preserve">partly </w:t>
      </w:r>
      <w:r>
        <w:t>disagree</w:t>
      </w:r>
      <w:r w:rsidR="00981DAE">
        <w:t>d</w:t>
      </w:r>
      <w:r>
        <w:t xml:space="preserve"> with the proposed route of traceability</w:t>
      </w:r>
      <w:r w:rsidR="00AC27AE">
        <w:t>, mainly</w:t>
      </w:r>
      <w:r>
        <w:t xml:space="preserve"> for practical reasons.</w:t>
      </w:r>
      <w:r w:rsidR="009662A4">
        <w:t xml:space="preserve"> </w:t>
      </w:r>
      <w:proofErr w:type="gramStart"/>
      <w:r w:rsidR="009662A4">
        <w:t>In particular, t</w:t>
      </w:r>
      <w:r>
        <w:t>hey</w:t>
      </w:r>
      <w:proofErr w:type="gramEnd"/>
      <w:r>
        <w:t xml:space="preserve"> </w:t>
      </w:r>
      <w:r w:rsidRPr="00FF2DCB">
        <w:t xml:space="preserve">prefer to use </w:t>
      </w:r>
      <w:r>
        <w:t xml:space="preserve">artificial seawater </w:t>
      </w:r>
      <w:r w:rsidRPr="00FF2DCB">
        <w:t xml:space="preserve">just for instrument check, but </w:t>
      </w:r>
      <w:r w:rsidRPr="00FF2DCB">
        <w:rPr>
          <w:u w:val="single"/>
        </w:rPr>
        <w:t>not</w:t>
      </w:r>
      <w:r w:rsidRPr="00FF2DCB">
        <w:t xml:space="preserve"> as calibrant with batch-to-batch characterization. </w:t>
      </w:r>
      <w:r>
        <w:t>This approach is questionable from a metrological perspective</w:t>
      </w:r>
      <w:r w:rsidR="00C73658">
        <w:t xml:space="preserve">, which has </w:t>
      </w:r>
      <w:r w:rsidR="00B626D3">
        <w:t>led</w:t>
      </w:r>
      <w:r w:rsidR="00C73658">
        <w:t xml:space="preserve"> to some discussion. </w:t>
      </w:r>
      <w:r w:rsidR="004566BF">
        <w:t>Afterwards, t</w:t>
      </w:r>
      <w:r>
        <w:t xml:space="preserve">he TG </w:t>
      </w:r>
      <w:r w:rsidR="007460FF">
        <w:t>has revised</w:t>
      </w:r>
      <w:r>
        <w:t xml:space="preserve"> the document, considering the mentioned concerns</w:t>
      </w:r>
      <w:r w:rsidR="004566BF">
        <w:t xml:space="preserve">. </w:t>
      </w:r>
      <w:r w:rsidR="008103EC">
        <w:t>In January, the revised document has been discussed again</w:t>
      </w:r>
      <w:r w:rsidR="002A13E1">
        <w:t xml:space="preserve"> and accepted. Next a</w:t>
      </w:r>
      <w:r w:rsidR="00481999">
        <w:t xml:space="preserve"> “Quick Guide to Establish metrological Traceability for </w:t>
      </w:r>
      <w:proofErr w:type="spellStart"/>
      <w:r w:rsidR="00481999">
        <w:t>pH</w:t>
      </w:r>
      <w:r w:rsidR="00481999" w:rsidRPr="00797C83">
        <w:rPr>
          <w:vertAlign w:val="subscript"/>
        </w:rPr>
        <w:t>T</w:t>
      </w:r>
      <w:proofErr w:type="spellEnd"/>
      <w:r w:rsidR="00481999">
        <w:t xml:space="preserve"> measurements” will be prepared</w:t>
      </w:r>
      <w:r w:rsidR="00797C83">
        <w:t xml:space="preserve"> and presented to the broader oceanographic community.</w:t>
      </w:r>
    </w:p>
    <w:p w14:paraId="672ADDB9" w14:textId="363DD5C6" w:rsidR="004374F2" w:rsidRPr="004374F2" w:rsidRDefault="00706562" w:rsidP="00706562">
      <w:pPr>
        <w:pStyle w:val="berschrift2"/>
      </w:pPr>
      <w:r>
        <w:t>CCQM/EAWG TG on Metrology for Li-</w:t>
      </w:r>
      <w:r w:rsidR="00CD1B76">
        <w:t>i</w:t>
      </w:r>
      <w:r>
        <w:t>on batteries</w:t>
      </w:r>
    </w:p>
    <w:p w14:paraId="126CFCB7" w14:textId="7A73CD6F" w:rsidR="00334791" w:rsidRDefault="000D7F13" w:rsidP="00BA6137">
      <w:r w:rsidRPr="000D7F13">
        <w:t xml:space="preserve">The TG has meet four times in this reporting period. </w:t>
      </w:r>
      <w:r w:rsidR="00C36D1D">
        <w:t xml:space="preserve">A list of potential measurands to be considered in the context of the CIPM-MRA has been established and intensively discussed. </w:t>
      </w:r>
      <w:r w:rsidRPr="000D7F13">
        <w:t xml:space="preserve">Specifying </w:t>
      </w:r>
      <w:r w:rsidR="008926F4">
        <w:t xml:space="preserve">and grouping </w:t>
      </w:r>
      <w:r w:rsidRPr="000D7F13">
        <w:t xml:space="preserve">measurands </w:t>
      </w:r>
      <w:r w:rsidR="00C876A3">
        <w:t xml:space="preserve">to be considered </w:t>
      </w:r>
      <w:r w:rsidRPr="000D7F13">
        <w:t xml:space="preserve">in </w:t>
      </w:r>
      <w:r w:rsidR="00C876A3">
        <w:t>the</w:t>
      </w:r>
      <w:r w:rsidRPr="000D7F13">
        <w:t xml:space="preserve"> stakeholder workshop has turned out to be quite difficult</w:t>
      </w:r>
      <w:r w:rsidR="008926F4">
        <w:t xml:space="preserve"> </w:t>
      </w:r>
      <w:r w:rsidR="000501E1">
        <w:t>due to the variety of technical ar</w:t>
      </w:r>
      <w:r w:rsidR="00250E49">
        <w:t>eas, technical readiness levels, stakeholder interests and allocation in the value chain of L</w:t>
      </w:r>
      <w:r w:rsidR="00541631">
        <w:t>i-</w:t>
      </w:r>
      <w:r w:rsidR="00CD1B76">
        <w:t>ion batteries</w:t>
      </w:r>
      <w:r w:rsidR="00250E49">
        <w:t xml:space="preserve">. Finally, it has been decided that each NMI partner will briefly present </w:t>
      </w:r>
      <w:r w:rsidR="009C6590">
        <w:t xml:space="preserve">its activity, likewise participating stakeholders are to </w:t>
      </w:r>
      <w:r w:rsidR="00F80F4C">
        <w:t>present their needs with respect to measurement comparability</w:t>
      </w:r>
      <w:r w:rsidR="00BD691E">
        <w:t xml:space="preserve">. It has been agreed to prepare in interactive workshop </w:t>
      </w:r>
      <w:r w:rsidR="00885C6A">
        <w:t xml:space="preserve">in first place. </w:t>
      </w:r>
      <w:r w:rsidR="001E5F0E" w:rsidRPr="001E5F0E">
        <w:t xml:space="preserve">The TG has decided that the workshop will take place </w:t>
      </w:r>
      <w:r w:rsidR="005F6897">
        <w:t xml:space="preserve">online </w:t>
      </w:r>
      <w:r w:rsidR="001E5F0E" w:rsidRPr="001E5F0E">
        <w:t>on September 2</w:t>
      </w:r>
      <w:r w:rsidR="00C14A14">
        <w:t>3</w:t>
      </w:r>
      <w:r w:rsidR="001E5F0E" w:rsidRPr="001E5F0E">
        <w:t xml:space="preserve"> and 2</w:t>
      </w:r>
      <w:r w:rsidR="00C14A14">
        <w:t>4</w:t>
      </w:r>
      <w:r w:rsidR="001E5F0E" w:rsidRPr="001E5F0E">
        <w:t>.</w:t>
      </w:r>
      <w:r w:rsidR="005F6897">
        <w:t xml:space="preserve"> Currently, the </w:t>
      </w:r>
      <w:r w:rsidR="00965B63">
        <w:t>TG</w:t>
      </w:r>
      <w:r w:rsidR="005F6897">
        <w:t xml:space="preserve"> is </w:t>
      </w:r>
      <w:r w:rsidR="00965B63">
        <w:t>preparing the agenda</w:t>
      </w:r>
      <w:r w:rsidR="009A32C4">
        <w:t>. In May the members will start</w:t>
      </w:r>
      <w:r w:rsidR="00F67C39">
        <w:t xml:space="preserve"> to invite selected </w:t>
      </w:r>
      <w:proofErr w:type="gramStart"/>
      <w:r w:rsidR="00F67C39">
        <w:t>stakeholders, but</w:t>
      </w:r>
      <w:proofErr w:type="gramEnd"/>
      <w:r w:rsidR="00F67C39">
        <w:t xml:space="preserve"> will also advertise for the workshop within their networks.</w:t>
      </w:r>
      <w:r w:rsidR="00814994">
        <w:t xml:space="preserve"> Furthermore, the workshop will be organised in conjunction with a VAMAS project on </w:t>
      </w:r>
      <w:proofErr w:type="spellStart"/>
      <w:r w:rsidR="00814994">
        <w:t>LiBs</w:t>
      </w:r>
      <w:proofErr w:type="spellEnd"/>
      <w:r w:rsidR="00814994">
        <w:t xml:space="preserve"> which perfectly</w:t>
      </w:r>
      <w:r w:rsidR="00DB252C">
        <w:t xml:space="preserve"> complements the scope of the TG. </w:t>
      </w:r>
      <w:r w:rsidR="00D2780E">
        <w:t xml:space="preserve">The </w:t>
      </w:r>
      <w:r w:rsidR="00DB30FE">
        <w:t>VAMAS</w:t>
      </w:r>
      <w:r w:rsidR="00D2780E">
        <w:t xml:space="preserve"> project (VAMAS is</w:t>
      </w:r>
      <w:r w:rsidR="00DB30FE">
        <w:t xml:space="preserve"> the </w:t>
      </w:r>
      <w:r w:rsidR="00DB30FE" w:rsidRPr="00DB30FE">
        <w:t>Versailles Project on Advanced Materials and Standards</w:t>
      </w:r>
      <w:r w:rsidR="00D2780E">
        <w:t>, www.vamas.org)</w:t>
      </w:r>
      <w:r w:rsidR="00DB30FE">
        <w:t xml:space="preserve">, </w:t>
      </w:r>
      <w:r w:rsidR="00E35679">
        <w:t xml:space="preserve">aims to define key metrological parameters for Li-ion cell standardisation </w:t>
      </w:r>
      <w:r w:rsidR="001542B3">
        <w:t>and currently organises a comparison measurement for those parameters.</w:t>
      </w:r>
      <w:r w:rsidR="00CD1B76">
        <w:t xml:space="preserve"> </w:t>
      </w:r>
      <w:r w:rsidR="00116FDD">
        <w:t>The TG did not manage to conclude the o</w:t>
      </w:r>
      <w:r w:rsidR="00F37ED9">
        <w:t>b</w:t>
      </w:r>
      <w:r w:rsidR="00116FDD">
        <w:t>jectives</w:t>
      </w:r>
      <w:r w:rsidR="00F37ED9">
        <w:t xml:space="preserve"> yet. Therefore, it is asking CCQM </w:t>
      </w:r>
      <w:r w:rsidR="00F34F3C">
        <w:t xml:space="preserve">for approval to extent the </w:t>
      </w:r>
      <w:r w:rsidR="00437142">
        <w:t>runtime of the TG for another year.</w:t>
      </w:r>
    </w:p>
    <w:p w14:paraId="3CA66710" w14:textId="4DA3D7C3" w:rsidR="00110F2F" w:rsidRDefault="00ED773A" w:rsidP="00687FE0">
      <w:pPr>
        <w:pStyle w:val="berschrift2"/>
      </w:pPr>
      <w:r>
        <w:t xml:space="preserve">Potential Task Group on </w:t>
      </w:r>
      <w:r w:rsidR="00687FE0">
        <w:t>electrochemical biosensors</w:t>
      </w:r>
    </w:p>
    <w:p w14:paraId="0A6395F1" w14:textId="1BD107E3" w:rsidR="00687FE0" w:rsidRDefault="00294491" w:rsidP="00F23793">
      <w:r>
        <w:t>T</w:t>
      </w:r>
      <w:r w:rsidR="0031112F">
        <w:t>wo</w:t>
      </w:r>
      <w:r>
        <w:t xml:space="preserve"> institutes of EAWG </w:t>
      </w:r>
      <w:r w:rsidR="005835F9">
        <w:t>are currently active in the characterisation of electrochemical biosensors</w:t>
      </w:r>
      <w:r w:rsidR="00F76FD9">
        <w:t xml:space="preserve"> (TUBITAK, NPL)</w:t>
      </w:r>
      <w:r w:rsidR="005835F9">
        <w:t xml:space="preserve">. </w:t>
      </w:r>
      <w:r w:rsidR="002C5F52">
        <w:t>It has turned out that NMI</w:t>
      </w:r>
      <w:r w:rsidR="00C0579C">
        <w:t>/DIs</w:t>
      </w:r>
      <w:r w:rsidR="002C5F52">
        <w:t xml:space="preserve"> from other WG</w:t>
      </w:r>
      <w:r w:rsidR="00875DAA">
        <w:t>s</w:t>
      </w:r>
      <w:r w:rsidR="002C5F52">
        <w:t xml:space="preserve"> are also active in this area. Therefore</w:t>
      </w:r>
      <w:r w:rsidR="00FE61E8">
        <w:t>,</w:t>
      </w:r>
      <w:r w:rsidR="002C5F52">
        <w:t xml:space="preserve"> the EAWG chair has</w:t>
      </w:r>
      <w:r w:rsidR="000D1D4E">
        <w:t xml:space="preserve"> invite</w:t>
      </w:r>
      <w:r w:rsidR="00B6574F">
        <w:t>d</w:t>
      </w:r>
      <w:r w:rsidR="000D1D4E">
        <w:t xml:space="preserve"> </w:t>
      </w:r>
      <w:r w:rsidR="0031112F">
        <w:t xml:space="preserve">colleagues </w:t>
      </w:r>
      <w:r w:rsidR="00C0579C">
        <w:t xml:space="preserve">from </w:t>
      </w:r>
      <w:r w:rsidR="000D1D4E">
        <w:t>the institutes in question</w:t>
      </w:r>
      <w:r w:rsidR="00F76FD9">
        <w:t xml:space="preserve"> (</w:t>
      </w:r>
      <w:r w:rsidR="0031112F">
        <w:t>TUBITAK, NPL, LGC and NIM)</w:t>
      </w:r>
      <w:r w:rsidR="00B6574F">
        <w:t xml:space="preserve"> in December 2024 to </w:t>
      </w:r>
      <w:r w:rsidR="00EC7165">
        <w:t xml:space="preserve">discuss potential objectives of a TG on bio sensors. </w:t>
      </w:r>
      <w:r w:rsidR="0057164E">
        <w:t xml:space="preserve">The group has met again in </w:t>
      </w:r>
      <w:r w:rsidR="003D55F1">
        <w:t>February</w:t>
      </w:r>
      <w:r w:rsidR="004D3B1B">
        <w:t xml:space="preserve"> to continue the discussion</w:t>
      </w:r>
      <w:r w:rsidR="003D55F1">
        <w:t xml:space="preserve">. </w:t>
      </w:r>
      <w:r w:rsidR="00222459">
        <w:t xml:space="preserve">Even though the </w:t>
      </w:r>
      <w:r w:rsidR="004F68B2">
        <w:t>measurement</w:t>
      </w:r>
      <w:r w:rsidR="00ED32A6">
        <w:t>s are different</w:t>
      </w:r>
      <w:r w:rsidR="00014E77">
        <w:t xml:space="preserve"> at the involved institutes</w:t>
      </w:r>
      <w:r w:rsidR="004D3B1B">
        <w:t>,</w:t>
      </w:r>
      <w:r w:rsidR="00ED32A6">
        <w:t xml:space="preserve"> it seems that </w:t>
      </w:r>
      <w:r w:rsidR="002D7FA6" w:rsidRPr="002D7FA6">
        <w:t xml:space="preserve">a general metrological framework for the characterisation of </w:t>
      </w:r>
      <w:proofErr w:type="gramStart"/>
      <w:r w:rsidR="002D7FA6" w:rsidRPr="002D7FA6">
        <w:t>bio-sensors</w:t>
      </w:r>
      <w:proofErr w:type="gramEnd"/>
      <w:r w:rsidR="002D7FA6" w:rsidRPr="002D7FA6">
        <w:t xml:space="preserve"> to achieve equivalence in measurement</w:t>
      </w:r>
      <w:r w:rsidR="002D7FA6">
        <w:t xml:space="preserve"> could be a common </w:t>
      </w:r>
      <w:r w:rsidR="0057164E">
        <w:t>object of a potential task group</w:t>
      </w:r>
      <w:r w:rsidR="00347E50">
        <w:t xml:space="preserve">. </w:t>
      </w:r>
      <w:proofErr w:type="gramStart"/>
      <w:r w:rsidR="00347E50">
        <w:t>A</w:t>
      </w:r>
      <w:r w:rsidR="00D03087">
        <w:t xml:space="preserve"> number of</w:t>
      </w:r>
      <w:proofErr w:type="gramEnd"/>
      <w:r w:rsidR="00D03087">
        <w:t xml:space="preserve"> </w:t>
      </w:r>
      <w:r w:rsidR="00347E50">
        <w:t xml:space="preserve">related </w:t>
      </w:r>
      <w:r w:rsidR="00D03087">
        <w:t xml:space="preserve">activities </w:t>
      </w:r>
      <w:r w:rsidR="00347E50">
        <w:t xml:space="preserve">would be addressed, such as: </w:t>
      </w:r>
    </w:p>
    <w:p w14:paraId="792DD396" w14:textId="77777777" w:rsidR="00C21DC6" w:rsidRDefault="00C21DC6" w:rsidP="00347E50">
      <w:pPr>
        <w:pStyle w:val="Listenabsatz"/>
        <w:numPr>
          <w:ilvl w:val="0"/>
          <w:numId w:val="19"/>
        </w:numPr>
      </w:pPr>
      <w:r>
        <w:t>Identification of sensor types + measurement quantities</w:t>
      </w:r>
    </w:p>
    <w:p w14:paraId="6E1B2583" w14:textId="77777777" w:rsidR="00C21DC6" w:rsidRDefault="00C21DC6" w:rsidP="00347E50">
      <w:pPr>
        <w:pStyle w:val="Listenabsatz"/>
        <w:numPr>
          <w:ilvl w:val="0"/>
          <w:numId w:val="19"/>
        </w:numPr>
      </w:pPr>
      <w:r>
        <w:t>Specification of characterisation methods for the sensors</w:t>
      </w:r>
    </w:p>
    <w:p w14:paraId="227B14E4" w14:textId="77777777" w:rsidR="00C21DC6" w:rsidRDefault="00C21DC6" w:rsidP="00347E50">
      <w:pPr>
        <w:pStyle w:val="Listenabsatz"/>
        <w:numPr>
          <w:ilvl w:val="0"/>
          <w:numId w:val="19"/>
        </w:numPr>
      </w:pPr>
      <w:r>
        <w:t>Specification of metrological reference + (C)RMs</w:t>
      </w:r>
    </w:p>
    <w:p w14:paraId="66DD43DF" w14:textId="77777777" w:rsidR="00C21DC6" w:rsidRDefault="00C21DC6" w:rsidP="00347E50">
      <w:pPr>
        <w:pStyle w:val="Listenabsatz"/>
        <w:numPr>
          <w:ilvl w:val="0"/>
          <w:numId w:val="19"/>
        </w:numPr>
      </w:pPr>
      <w:r>
        <w:t>Specification of quantitative criteria for the characterisation, such as, sensitivity, specificity, reproducibility, effect on scalability, etc.</w:t>
      </w:r>
    </w:p>
    <w:p w14:paraId="5181A212" w14:textId="213D9983" w:rsidR="00C21DC6" w:rsidRDefault="00A22369" w:rsidP="00347E50">
      <w:pPr>
        <w:pStyle w:val="Listenabsatz"/>
        <w:numPr>
          <w:ilvl w:val="0"/>
          <w:numId w:val="19"/>
        </w:numPr>
      </w:pPr>
      <w:r>
        <w:t>specification</w:t>
      </w:r>
      <w:r w:rsidR="00C21DC6">
        <w:t xml:space="preserve"> of uncertainty sources</w:t>
      </w:r>
    </w:p>
    <w:p w14:paraId="75336121" w14:textId="7F2E23C8" w:rsidR="00C21DC6" w:rsidRDefault="00A22369" w:rsidP="00347E50">
      <w:pPr>
        <w:pStyle w:val="Listenabsatz"/>
        <w:numPr>
          <w:ilvl w:val="0"/>
          <w:numId w:val="19"/>
        </w:numPr>
      </w:pPr>
      <w:r>
        <w:t>s</w:t>
      </w:r>
      <w:r w:rsidR="00C21DC6">
        <w:t>pecification of QC criteria</w:t>
      </w:r>
    </w:p>
    <w:p w14:paraId="7E69097D" w14:textId="53E7DE90" w:rsidR="00C21DC6" w:rsidRDefault="000C6FCB" w:rsidP="00347E50">
      <w:pPr>
        <w:pStyle w:val="Listenabsatz"/>
        <w:numPr>
          <w:ilvl w:val="0"/>
          <w:numId w:val="19"/>
        </w:numPr>
      </w:pPr>
      <w:r>
        <w:t>establishing a</w:t>
      </w:r>
      <w:r w:rsidR="00C21DC6">
        <w:t xml:space="preserve"> show case: e.g. characterisation of Au-electrodes for various bio-sensor applications (already envisioning a comparison with other WG)</w:t>
      </w:r>
    </w:p>
    <w:p w14:paraId="44CD8E7D" w14:textId="29CAFC08" w:rsidR="000C6FCB" w:rsidRDefault="00F04252" w:rsidP="00F04252">
      <w:r w:rsidRPr="00F04252">
        <w:t xml:space="preserve">Unfortunately, none of the participating institutes has the capacity to coordinate such a TG. One possible approach could be to extend the scope to include bio-sensing techniques in general. However, if no one can be found to take the lead, the idea of a CCQM-TG on </w:t>
      </w:r>
      <w:proofErr w:type="gramStart"/>
      <w:r w:rsidRPr="00F04252">
        <w:t>bio-sensors</w:t>
      </w:r>
      <w:proofErr w:type="gramEnd"/>
      <w:r w:rsidRPr="00F04252">
        <w:t xml:space="preserve"> or bio-sensing technologies will have to be discarded.</w:t>
      </w:r>
    </w:p>
    <w:sectPr w:rsidR="000C6FCB" w:rsidSect="00875ECA">
      <w:footerReference w:type="default" r:id="rId14"/>
      <w:pgSz w:w="11906" w:h="16838"/>
      <w:pgMar w:top="1135" w:right="849" w:bottom="127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A481" w14:textId="77777777" w:rsidR="00080930" w:rsidRDefault="00080930" w:rsidP="007319FC">
      <w:pPr>
        <w:spacing w:after="0"/>
      </w:pPr>
      <w:r>
        <w:separator/>
      </w:r>
    </w:p>
  </w:endnote>
  <w:endnote w:type="continuationSeparator" w:id="0">
    <w:p w14:paraId="1F128544" w14:textId="77777777" w:rsidR="00080930" w:rsidRDefault="00080930" w:rsidP="00731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FC8F" w14:textId="75B38455" w:rsidR="00D96D34" w:rsidRDefault="00D96D34" w:rsidP="00F5479F">
    <w:pPr>
      <w:pStyle w:val="Fuzeile"/>
      <w:pBdr>
        <w:top w:val="single" w:sz="4" w:space="1" w:color="auto"/>
      </w:pBdr>
      <w:tabs>
        <w:tab w:val="clear" w:pos="4536"/>
        <w:tab w:val="clear" w:pos="7088"/>
        <w:tab w:val="clear" w:pos="9072"/>
        <w:tab w:val="right" w:pos="4962"/>
        <w:tab w:val="left" w:pos="9214"/>
      </w:tabs>
    </w:pPr>
    <w:r>
      <w:rPr>
        <w:sz w:val="20"/>
      </w:rPr>
      <w:tab/>
    </w:r>
    <w:r w:rsidRPr="00D22B55">
      <w:rPr>
        <w:sz w:val="20"/>
      </w:rPr>
      <w:fldChar w:fldCharType="begin"/>
    </w:r>
    <w:r w:rsidRPr="00D22B55">
      <w:rPr>
        <w:sz w:val="20"/>
      </w:rPr>
      <w:instrText>PAGE   \* MERGEFORMAT</w:instrText>
    </w:r>
    <w:r w:rsidRPr="00D22B55">
      <w:rPr>
        <w:sz w:val="20"/>
      </w:rPr>
      <w:fldChar w:fldCharType="separate"/>
    </w:r>
    <w:r w:rsidR="00291BE4" w:rsidRPr="00291BE4">
      <w:rPr>
        <w:noProof/>
        <w:sz w:val="20"/>
        <w:lang w:val="de-DE"/>
      </w:rPr>
      <w:t>11</w:t>
    </w:r>
    <w:r w:rsidRPr="00D22B55">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F6CF" w14:textId="0880F473" w:rsidR="000E03C1" w:rsidRPr="00C1588F" w:rsidRDefault="00C1588F" w:rsidP="00FE3A73">
    <w:pPr>
      <w:pStyle w:val="Fuzeile"/>
      <w:pBdr>
        <w:top w:val="single" w:sz="4" w:space="1" w:color="auto"/>
      </w:pBdr>
      <w:rPr>
        <w:sz w:val="20"/>
      </w:rPr>
    </w:pPr>
    <w:r w:rsidRPr="00C1588F">
      <w:rPr>
        <w:sz w:val="20"/>
      </w:rPr>
      <w:t>2</w:t>
    </w:r>
    <w:r w:rsidR="00005964">
      <w:rPr>
        <w:sz w:val="20"/>
      </w:rPr>
      <w:t>1</w:t>
    </w:r>
    <w:r w:rsidRPr="00C1588F">
      <w:rPr>
        <w:sz w:val="20"/>
      </w:rPr>
      <w:t>.03.202</w:t>
    </w:r>
    <w:r w:rsidR="00005964">
      <w:rPr>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11C2" w14:textId="77777777" w:rsidR="00F5479F" w:rsidRDefault="00F5479F" w:rsidP="00F5479F">
    <w:pPr>
      <w:pStyle w:val="Fuzeile"/>
      <w:pBdr>
        <w:top w:val="single" w:sz="4" w:space="1" w:color="auto"/>
      </w:pBdr>
      <w:tabs>
        <w:tab w:val="clear" w:pos="4536"/>
        <w:tab w:val="clear" w:pos="7088"/>
        <w:tab w:val="clear" w:pos="9072"/>
        <w:tab w:val="right" w:pos="7655"/>
        <w:tab w:val="left" w:pos="9214"/>
      </w:tabs>
    </w:pPr>
    <w:r>
      <w:rPr>
        <w:sz w:val="20"/>
      </w:rPr>
      <w:tab/>
    </w:r>
    <w:r w:rsidRPr="00D22B55">
      <w:rPr>
        <w:sz w:val="20"/>
      </w:rPr>
      <w:fldChar w:fldCharType="begin"/>
    </w:r>
    <w:r w:rsidRPr="00D22B55">
      <w:rPr>
        <w:sz w:val="20"/>
      </w:rPr>
      <w:instrText>PAGE   \* MERGEFORMAT</w:instrText>
    </w:r>
    <w:r w:rsidRPr="00D22B55">
      <w:rPr>
        <w:sz w:val="20"/>
      </w:rPr>
      <w:fldChar w:fldCharType="separate"/>
    </w:r>
    <w:r w:rsidRPr="00291BE4">
      <w:rPr>
        <w:noProof/>
        <w:sz w:val="20"/>
        <w:lang w:val="de-DE"/>
      </w:rPr>
      <w:t>11</w:t>
    </w:r>
    <w:r w:rsidRPr="00D22B55">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99EF" w14:textId="77777777" w:rsidR="00F5479F" w:rsidRDefault="00F5479F" w:rsidP="00F5479F">
    <w:pPr>
      <w:pStyle w:val="Fuzeile"/>
      <w:pBdr>
        <w:top w:val="single" w:sz="4" w:space="1" w:color="auto"/>
      </w:pBdr>
      <w:tabs>
        <w:tab w:val="clear" w:pos="4536"/>
        <w:tab w:val="clear" w:pos="7088"/>
        <w:tab w:val="clear" w:pos="9072"/>
        <w:tab w:val="right" w:pos="4962"/>
        <w:tab w:val="left" w:pos="9214"/>
      </w:tabs>
    </w:pPr>
    <w:r>
      <w:rPr>
        <w:sz w:val="20"/>
      </w:rPr>
      <w:tab/>
    </w:r>
    <w:r w:rsidRPr="00D22B55">
      <w:rPr>
        <w:sz w:val="20"/>
      </w:rPr>
      <w:fldChar w:fldCharType="begin"/>
    </w:r>
    <w:r w:rsidRPr="00D22B55">
      <w:rPr>
        <w:sz w:val="20"/>
      </w:rPr>
      <w:instrText>PAGE   \* MERGEFORMAT</w:instrText>
    </w:r>
    <w:r w:rsidRPr="00D22B55">
      <w:rPr>
        <w:sz w:val="20"/>
      </w:rPr>
      <w:fldChar w:fldCharType="separate"/>
    </w:r>
    <w:r w:rsidRPr="00291BE4">
      <w:rPr>
        <w:noProof/>
        <w:sz w:val="20"/>
        <w:lang w:val="de-DE"/>
      </w:rPr>
      <w:t>11</w:t>
    </w:r>
    <w:r w:rsidRPr="00D22B5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A2B6F" w14:textId="77777777" w:rsidR="00080930" w:rsidRDefault="00080930" w:rsidP="007319FC">
      <w:pPr>
        <w:spacing w:after="0"/>
      </w:pPr>
      <w:r>
        <w:separator/>
      </w:r>
    </w:p>
  </w:footnote>
  <w:footnote w:type="continuationSeparator" w:id="0">
    <w:p w14:paraId="5778A5AE" w14:textId="77777777" w:rsidR="00080930" w:rsidRDefault="00080930" w:rsidP="007319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28D2" w14:textId="1C7485A0" w:rsidR="00D96D34" w:rsidRDefault="00AB37C1" w:rsidP="000F0725">
    <w:pPr>
      <w:pStyle w:val="Kopfzeile"/>
      <w:ind w:hanging="284"/>
    </w:pPr>
    <w:r>
      <w:rPr>
        <w:noProof/>
        <w:snapToGrid/>
        <w:lang w:val="ru-RU" w:eastAsia="ru-RU"/>
      </w:rPr>
      <w:drawing>
        <wp:anchor distT="0" distB="0" distL="114300" distR="114300" simplePos="0" relativeHeight="251658240" behindDoc="0" locked="0" layoutInCell="1" allowOverlap="1" wp14:anchorId="1A103189" wp14:editId="0C543E0F">
          <wp:simplePos x="0" y="0"/>
          <wp:positionH relativeFrom="margin">
            <wp:align>right</wp:align>
          </wp:positionH>
          <wp:positionV relativeFrom="paragraph">
            <wp:posOffset>-67089</wp:posOffset>
          </wp:positionV>
          <wp:extent cx="1052065" cy="222636"/>
          <wp:effectExtent l="0" t="0" r="0" b="6350"/>
          <wp:wrapThrough wrapText="bothSides">
            <wp:wrapPolygon edited="0">
              <wp:start x="391" y="0"/>
              <wp:lineTo x="391" y="20366"/>
              <wp:lineTo x="20739" y="20366"/>
              <wp:lineTo x="21130" y="3703"/>
              <wp:lineTo x="18000" y="0"/>
              <wp:lineTo x="5087" y="0"/>
              <wp:lineTo x="391" y="0"/>
            </wp:wrapPolygon>
          </wp:wrapThrough>
          <wp:docPr id="482119359" name="Grafik 48211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52065" cy="222636"/>
                  </a:xfrm>
                  <a:prstGeom prst="rect">
                    <a:avLst/>
                  </a:prstGeom>
                </pic:spPr>
              </pic:pic>
            </a:graphicData>
          </a:graphic>
        </wp:anchor>
      </w:drawing>
    </w:r>
    <w:r>
      <w:t>EAWG summary report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F4BC" w14:textId="7FAB1DCB" w:rsidR="00D96D34" w:rsidRDefault="00D96D34" w:rsidP="00D22B55">
    <w:pPr>
      <w:pStyle w:val="Kopfzeile"/>
      <w:jc w:val="right"/>
    </w:pPr>
    <w:r>
      <w:rPr>
        <w:noProof/>
        <w:snapToGrid/>
        <w:lang w:val="ru-RU" w:eastAsia="ru-RU"/>
      </w:rPr>
      <w:drawing>
        <wp:inline distT="0" distB="0" distL="0" distR="0" wp14:anchorId="62A2E942" wp14:editId="1EDB7434">
          <wp:extent cx="1574359" cy="333163"/>
          <wp:effectExtent l="0" t="0" r="0" b="0"/>
          <wp:docPr id="2075468909" name="Grafik 207546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49136" cy="348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69008A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9864FB4"/>
    <w:multiLevelType w:val="multilevel"/>
    <w:tmpl w:val="2E4A39D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D38085F"/>
    <w:multiLevelType w:val="hybridMultilevel"/>
    <w:tmpl w:val="97AAF534"/>
    <w:lvl w:ilvl="0" w:tplc="74A07D56">
      <w:start w:val="1"/>
      <w:numFmt w:val="bullet"/>
      <w:lvlText w:val="•"/>
      <w:lvlJc w:val="left"/>
      <w:pPr>
        <w:tabs>
          <w:tab w:val="num" w:pos="720"/>
        </w:tabs>
        <w:ind w:left="720" w:hanging="360"/>
      </w:pPr>
      <w:rPr>
        <w:rFonts w:ascii="Arial" w:hAnsi="Arial" w:hint="default"/>
      </w:rPr>
    </w:lvl>
    <w:lvl w:ilvl="1" w:tplc="AB4AB908" w:tentative="1">
      <w:start w:val="1"/>
      <w:numFmt w:val="bullet"/>
      <w:lvlText w:val="•"/>
      <w:lvlJc w:val="left"/>
      <w:pPr>
        <w:tabs>
          <w:tab w:val="num" w:pos="1440"/>
        </w:tabs>
        <w:ind w:left="1440" w:hanging="360"/>
      </w:pPr>
      <w:rPr>
        <w:rFonts w:ascii="Arial" w:hAnsi="Arial" w:hint="default"/>
      </w:rPr>
    </w:lvl>
    <w:lvl w:ilvl="2" w:tplc="EF90FE40" w:tentative="1">
      <w:start w:val="1"/>
      <w:numFmt w:val="bullet"/>
      <w:lvlText w:val="•"/>
      <w:lvlJc w:val="left"/>
      <w:pPr>
        <w:tabs>
          <w:tab w:val="num" w:pos="2160"/>
        </w:tabs>
        <w:ind w:left="2160" w:hanging="360"/>
      </w:pPr>
      <w:rPr>
        <w:rFonts w:ascii="Arial" w:hAnsi="Arial" w:hint="default"/>
      </w:rPr>
    </w:lvl>
    <w:lvl w:ilvl="3" w:tplc="917E1678" w:tentative="1">
      <w:start w:val="1"/>
      <w:numFmt w:val="bullet"/>
      <w:lvlText w:val="•"/>
      <w:lvlJc w:val="left"/>
      <w:pPr>
        <w:tabs>
          <w:tab w:val="num" w:pos="2880"/>
        </w:tabs>
        <w:ind w:left="2880" w:hanging="360"/>
      </w:pPr>
      <w:rPr>
        <w:rFonts w:ascii="Arial" w:hAnsi="Arial" w:hint="default"/>
      </w:rPr>
    </w:lvl>
    <w:lvl w:ilvl="4" w:tplc="4B1A9056" w:tentative="1">
      <w:start w:val="1"/>
      <w:numFmt w:val="bullet"/>
      <w:lvlText w:val="•"/>
      <w:lvlJc w:val="left"/>
      <w:pPr>
        <w:tabs>
          <w:tab w:val="num" w:pos="3600"/>
        </w:tabs>
        <w:ind w:left="3600" w:hanging="360"/>
      </w:pPr>
      <w:rPr>
        <w:rFonts w:ascii="Arial" w:hAnsi="Arial" w:hint="default"/>
      </w:rPr>
    </w:lvl>
    <w:lvl w:ilvl="5" w:tplc="C82CFC78" w:tentative="1">
      <w:start w:val="1"/>
      <w:numFmt w:val="bullet"/>
      <w:lvlText w:val="•"/>
      <w:lvlJc w:val="left"/>
      <w:pPr>
        <w:tabs>
          <w:tab w:val="num" w:pos="4320"/>
        </w:tabs>
        <w:ind w:left="4320" w:hanging="360"/>
      </w:pPr>
      <w:rPr>
        <w:rFonts w:ascii="Arial" w:hAnsi="Arial" w:hint="default"/>
      </w:rPr>
    </w:lvl>
    <w:lvl w:ilvl="6" w:tplc="4A5C3626" w:tentative="1">
      <w:start w:val="1"/>
      <w:numFmt w:val="bullet"/>
      <w:lvlText w:val="•"/>
      <w:lvlJc w:val="left"/>
      <w:pPr>
        <w:tabs>
          <w:tab w:val="num" w:pos="5040"/>
        </w:tabs>
        <w:ind w:left="5040" w:hanging="360"/>
      </w:pPr>
      <w:rPr>
        <w:rFonts w:ascii="Arial" w:hAnsi="Arial" w:hint="default"/>
      </w:rPr>
    </w:lvl>
    <w:lvl w:ilvl="7" w:tplc="9C143844" w:tentative="1">
      <w:start w:val="1"/>
      <w:numFmt w:val="bullet"/>
      <w:lvlText w:val="•"/>
      <w:lvlJc w:val="left"/>
      <w:pPr>
        <w:tabs>
          <w:tab w:val="num" w:pos="5760"/>
        </w:tabs>
        <w:ind w:left="5760" w:hanging="360"/>
      </w:pPr>
      <w:rPr>
        <w:rFonts w:ascii="Arial" w:hAnsi="Arial" w:hint="default"/>
      </w:rPr>
    </w:lvl>
    <w:lvl w:ilvl="8" w:tplc="047C69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DC083F"/>
    <w:multiLevelType w:val="hybridMultilevel"/>
    <w:tmpl w:val="1CDA24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1784E9B"/>
    <w:multiLevelType w:val="hybridMultilevel"/>
    <w:tmpl w:val="B4CEDCCA"/>
    <w:lvl w:ilvl="0" w:tplc="B0BE0A0C">
      <w:start w:val="1"/>
      <w:numFmt w:val="bullet"/>
      <w:lvlText w:val="•"/>
      <w:lvlJc w:val="left"/>
      <w:pPr>
        <w:tabs>
          <w:tab w:val="num" w:pos="870"/>
        </w:tabs>
        <w:ind w:left="870" w:hanging="360"/>
      </w:pPr>
      <w:rPr>
        <w:rFonts w:ascii="Arial" w:hAnsi="Arial" w:hint="default"/>
      </w:rPr>
    </w:lvl>
    <w:lvl w:ilvl="1" w:tplc="A84632D6" w:tentative="1">
      <w:start w:val="1"/>
      <w:numFmt w:val="bullet"/>
      <w:lvlText w:val="•"/>
      <w:lvlJc w:val="left"/>
      <w:pPr>
        <w:tabs>
          <w:tab w:val="num" w:pos="1590"/>
        </w:tabs>
        <w:ind w:left="1590" w:hanging="360"/>
      </w:pPr>
      <w:rPr>
        <w:rFonts w:ascii="Arial" w:hAnsi="Arial" w:hint="default"/>
      </w:rPr>
    </w:lvl>
    <w:lvl w:ilvl="2" w:tplc="866C7158" w:tentative="1">
      <w:start w:val="1"/>
      <w:numFmt w:val="bullet"/>
      <w:lvlText w:val="•"/>
      <w:lvlJc w:val="left"/>
      <w:pPr>
        <w:tabs>
          <w:tab w:val="num" w:pos="2310"/>
        </w:tabs>
        <w:ind w:left="2310" w:hanging="360"/>
      </w:pPr>
      <w:rPr>
        <w:rFonts w:ascii="Arial" w:hAnsi="Arial" w:hint="default"/>
      </w:rPr>
    </w:lvl>
    <w:lvl w:ilvl="3" w:tplc="A134D800" w:tentative="1">
      <w:start w:val="1"/>
      <w:numFmt w:val="bullet"/>
      <w:lvlText w:val="•"/>
      <w:lvlJc w:val="left"/>
      <w:pPr>
        <w:tabs>
          <w:tab w:val="num" w:pos="3030"/>
        </w:tabs>
        <w:ind w:left="3030" w:hanging="360"/>
      </w:pPr>
      <w:rPr>
        <w:rFonts w:ascii="Arial" w:hAnsi="Arial" w:hint="default"/>
      </w:rPr>
    </w:lvl>
    <w:lvl w:ilvl="4" w:tplc="31561D78" w:tentative="1">
      <w:start w:val="1"/>
      <w:numFmt w:val="bullet"/>
      <w:lvlText w:val="•"/>
      <w:lvlJc w:val="left"/>
      <w:pPr>
        <w:tabs>
          <w:tab w:val="num" w:pos="3750"/>
        </w:tabs>
        <w:ind w:left="3750" w:hanging="360"/>
      </w:pPr>
      <w:rPr>
        <w:rFonts w:ascii="Arial" w:hAnsi="Arial" w:hint="default"/>
      </w:rPr>
    </w:lvl>
    <w:lvl w:ilvl="5" w:tplc="05C230B2" w:tentative="1">
      <w:start w:val="1"/>
      <w:numFmt w:val="bullet"/>
      <w:lvlText w:val="•"/>
      <w:lvlJc w:val="left"/>
      <w:pPr>
        <w:tabs>
          <w:tab w:val="num" w:pos="4470"/>
        </w:tabs>
        <w:ind w:left="4470" w:hanging="360"/>
      </w:pPr>
      <w:rPr>
        <w:rFonts w:ascii="Arial" w:hAnsi="Arial" w:hint="default"/>
      </w:rPr>
    </w:lvl>
    <w:lvl w:ilvl="6" w:tplc="6DFCBB56" w:tentative="1">
      <w:start w:val="1"/>
      <w:numFmt w:val="bullet"/>
      <w:lvlText w:val="•"/>
      <w:lvlJc w:val="left"/>
      <w:pPr>
        <w:tabs>
          <w:tab w:val="num" w:pos="5190"/>
        </w:tabs>
        <w:ind w:left="5190" w:hanging="360"/>
      </w:pPr>
      <w:rPr>
        <w:rFonts w:ascii="Arial" w:hAnsi="Arial" w:hint="default"/>
      </w:rPr>
    </w:lvl>
    <w:lvl w:ilvl="7" w:tplc="45506186" w:tentative="1">
      <w:start w:val="1"/>
      <w:numFmt w:val="bullet"/>
      <w:lvlText w:val="•"/>
      <w:lvlJc w:val="left"/>
      <w:pPr>
        <w:tabs>
          <w:tab w:val="num" w:pos="5910"/>
        </w:tabs>
        <w:ind w:left="5910" w:hanging="360"/>
      </w:pPr>
      <w:rPr>
        <w:rFonts w:ascii="Arial" w:hAnsi="Arial" w:hint="default"/>
      </w:rPr>
    </w:lvl>
    <w:lvl w:ilvl="8" w:tplc="B0D0B36C" w:tentative="1">
      <w:start w:val="1"/>
      <w:numFmt w:val="bullet"/>
      <w:lvlText w:val="•"/>
      <w:lvlJc w:val="left"/>
      <w:pPr>
        <w:tabs>
          <w:tab w:val="num" w:pos="6630"/>
        </w:tabs>
        <w:ind w:left="6630" w:hanging="360"/>
      </w:pPr>
      <w:rPr>
        <w:rFonts w:ascii="Arial" w:hAnsi="Arial" w:hint="default"/>
      </w:rPr>
    </w:lvl>
  </w:abstractNum>
  <w:abstractNum w:abstractNumId="5" w15:restartNumberingAfterBreak="0">
    <w:nsid w:val="5AE66D79"/>
    <w:multiLevelType w:val="hybridMultilevel"/>
    <w:tmpl w:val="141272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848057966">
    <w:abstractNumId w:val="1"/>
  </w:num>
  <w:num w:numId="2" w16cid:durableId="658314808">
    <w:abstractNumId w:val="4"/>
  </w:num>
  <w:num w:numId="3" w16cid:durableId="363099759">
    <w:abstractNumId w:val="3"/>
  </w:num>
  <w:num w:numId="4" w16cid:durableId="876353857">
    <w:abstractNumId w:val="0"/>
  </w:num>
  <w:num w:numId="5" w16cid:durableId="1388140304">
    <w:abstractNumId w:val="1"/>
  </w:num>
  <w:num w:numId="6" w16cid:durableId="2137722543">
    <w:abstractNumId w:val="1"/>
  </w:num>
  <w:num w:numId="7" w16cid:durableId="978191477">
    <w:abstractNumId w:val="1"/>
  </w:num>
  <w:num w:numId="8" w16cid:durableId="500781321">
    <w:abstractNumId w:val="1"/>
  </w:num>
  <w:num w:numId="9" w16cid:durableId="1120882349">
    <w:abstractNumId w:val="1"/>
  </w:num>
  <w:num w:numId="10" w16cid:durableId="899487968">
    <w:abstractNumId w:val="1"/>
  </w:num>
  <w:num w:numId="11" w16cid:durableId="937525245">
    <w:abstractNumId w:val="1"/>
  </w:num>
  <w:num w:numId="12" w16cid:durableId="1588147043">
    <w:abstractNumId w:val="1"/>
  </w:num>
  <w:num w:numId="13" w16cid:durableId="2091653700">
    <w:abstractNumId w:val="1"/>
  </w:num>
  <w:num w:numId="14" w16cid:durableId="539130858">
    <w:abstractNumId w:val="1"/>
  </w:num>
  <w:num w:numId="15" w16cid:durableId="23411413">
    <w:abstractNumId w:val="2"/>
  </w:num>
  <w:num w:numId="16" w16cid:durableId="1546406581">
    <w:abstractNumId w:val="1"/>
  </w:num>
  <w:num w:numId="17" w16cid:durableId="1759597690">
    <w:abstractNumId w:val="1"/>
  </w:num>
  <w:num w:numId="18" w16cid:durableId="1055933939">
    <w:abstractNumId w:val="1"/>
  </w:num>
  <w:num w:numId="19" w16cid:durableId="145243528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60"/>
    <w:rsid w:val="00000BB1"/>
    <w:rsid w:val="00001C18"/>
    <w:rsid w:val="00001C72"/>
    <w:rsid w:val="000025DF"/>
    <w:rsid w:val="00003917"/>
    <w:rsid w:val="00004234"/>
    <w:rsid w:val="00004355"/>
    <w:rsid w:val="00005950"/>
    <w:rsid w:val="00005964"/>
    <w:rsid w:val="00006325"/>
    <w:rsid w:val="00006B4C"/>
    <w:rsid w:val="00012258"/>
    <w:rsid w:val="00014E77"/>
    <w:rsid w:val="000227C2"/>
    <w:rsid w:val="000251E4"/>
    <w:rsid w:val="00025980"/>
    <w:rsid w:val="00031ABE"/>
    <w:rsid w:val="00035069"/>
    <w:rsid w:val="00035D73"/>
    <w:rsid w:val="000376B8"/>
    <w:rsid w:val="00037C75"/>
    <w:rsid w:val="0004010E"/>
    <w:rsid w:val="00041401"/>
    <w:rsid w:val="0004467D"/>
    <w:rsid w:val="00044955"/>
    <w:rsid w:val="00045AA0"/>
    <w:rsid w:val="00047041"/>
    <w:rsid w:val="00047C5F"/>
    <w:rsid w:val="000501E1"/>
    <w:rsid w:val="00050DAD"/>
    <w:rsid w:val="0005459E"/>
    <w:rsid w:val="00054E03"/>
    <w:rsid w:val="000556A7"/>
    <w:rsid w:val="00055B27"/>
    <w:rsid w:val="000609E0"/>
    <w:rsid w:val="00060AAE"/>
    <w:rsid w:val="00064539"/>
    <w:rsid w:val="0006647A"/>
    <w:rsid w:val="00070B95"/>
    <w:rsid w:val="00072936"/>
    <w:rsid w:val="00072F59"/>
    <w:rsid w:val="00074677"/>
    <w:rsid w:val="00074AEC"/>
    <w:rsid w:val="000765EA"/>
    <w:rsid w:val="00077526"/>
    <w:rsid w:val="00080930"/>
    <w:rsid w:val="000820AF"/>
    <w:rsid w:val="000860B6"/>
    <w:rsid w:val="000876CF"/>
    <w:rsid w:val="0008781E"/>
    <w:rsid w:val="00090031"/>
    <w:rsid w:val="00091075"/>
    <w:rsid w:val="00092479"/>
    <w:rsid w:val="00092795"/>
    <w:rsid w:val="000931F2"/>
    <w:rsid w:val="00093610"/>
    <w:rsid w:val="00094AE8"/>
    <w:rsid w:val="0009542F"/>
    <w:rsid w:val="000979F0"/>
    <w:rsid w:val="00097B09"/>
    <w:rsid w:val="00097C9D"/>
    <w:rsid w:val="000A1909"/>
    <w:rsid w:val="000A1CBC"/>
    <w:rsid w:val="000A3A36"/>
    <w:rsid w:val="000A5054"/>
    <w:rsid w:val="000A56EC"/>
    <w:rsid w:val="000A6C13"/>
    <w:rsid w:val="000B096B"/>
    <w:rsid w:val="000B3653"/>
    <w:rsid w:val="000B3E68"/>
    <w:rsid w:val="000B47C1"/>
    <w:rsid w:val="000B47DC"/>
    <w:rsid w:val="000B4ED8"/>
    <w:rsid w:val="000B4F1E"/>
    <w:rsid w:val="000B538A"/>
    <w:rsid w:val="000B597D"/>
    <w:rsid w:val="000B6AE8"/>
    <w:rsid w:val="000B7876"/>
    <w:rsid w:val="000B79CE"/>
    <w:rsid w:val="000C19C4"/>
    <w:rsid w:val="000C30B2"/>
    <w:rsid w:val="000C34FD"/>
    <w:rsid w:val="000C6946"/>
    <w:rsid w:val="000C6B0E"/>
    <w:rsid w:val="000C6FCB"/>
    <w:rsid w:val="000C734C"/>
    <w:rsid w:val="000D08C6"/>
    <w:rsid w:val="000D0B66"/>
    <w:rsid w:val="000D1D4E"/>
    <w:rsid w:val="000D4705"/>
    <w:rsid w:val="000D5822"/>
    <w:rsid w:val="000D7D99"/>
    <w:rsid w:val="000D7F13"/>
    <w:rsid w:val="000E03C1"/>
    <w:rsid w:val="000E0ACA"/>
    <w:rsid w:val="000E334B"/>
    <w:rsid w:val="000E3883"/>
    <w:rsid w:val="000E39C9"/>
    <w:rsid w:val="000E42F4"/>
    <w:rsid w:val="000E5109"/>
    <w:rsid w:val="000E5138"/>
    <w:rsid w:val="000F0725"/>
    <w:rsid w:val="000F09E8"/>
    <w:rsid w:val="000F24F0"/>
    <w:rsid w:val="000F2A68"/>
    <w:rsid w:val="000F2D1B"/>
    <w:rsid w:val="000F3B9E"/>
    <w:rsid w:val="000F50AD"/>
    <w:rsid w:val="000F7A75"/>
    <w:rsid w:val="001026DC"/>
    <w:rsid w:val="0010668F"/>
    <w:rsid w:val="00110F06"/>
    <w:rsid w:val="00110F2F"/>
    <w:rsid w:val="00111ED2"/>
    <w:rsid w:val="00113077"/>
    <w:rsid w:val="00113D4D"/>
    <w:rsid w:val="0011477D"/>
    <w:rsid w:val="00114B39"/>
    <w:rsid w:val="00115EF6"/>
    <w:rsid w:val="001164B3"/>
    <w:rsid w:val="001168B1"/>
    <w:rsid w:val="00116C4D"/>
    <w:rsid w:val="00116FDD"/>
    <w:rsid w:val="00120BD5"/>
    <w:rsid w:val="00122F05"/>
    <w:rsid w:val="00127B2E"/>
    <w:rsid w:val="00130827"/>
    <w:rsid w:val="00131AF6"/>
    <w:rsid w:val="00131AF7"/>
    <w:rsid w:val="00132138"/>
    <w:rsid w:val="0013217B"/>
    <w:rsid w:val="00134233"/>
    <w:rsid w:val="00134607"/>
    <w:rsid w:val="00136169"/>
    <w:rsid w:val="00136916"/>
    <w:rsid w:val="00136CBC"/>
    <w:rsid w:val="00137671"/>
    <w:rsid w:val="00137DA9"/>
    <w:rsid w:val="00137FE2"/>
    <w:rsid w:val="00140308"/>
    <w:rsid w:val="00141699"/>
    <w:rsid w:val="001442D5"/>
    <w:rsid w:val="001448C0"/>
    <w:rsid w:val="00145040"/>
    <w:rsid w:val="00145E0C"/>
    <w:rsid w:val="001470AB"/>
    <w:rsid w:val="0015158B"/>
    <w:rsid w:val="0015164A"/>
    <w:rsid w:val="00151725"/>
    <w:rsid w:val="00151AEE"/>
    <w:rsid w:val="00153151"/>
    <w:rsid w:val="0015425F"/>
    <w:rsid w:val="001542B3"/>
    <w:rsid w:val="00154FE6"/>
    <w:rsid w:val="00156126"/>
    <w:rsid w:val="0015726F"/>
    <w:rsid w:val="00162608"/>
    <w:rsid w:val="00162F0B"/>
    <w:rsid w:val="00165081"/>
    <w:rsid w:val="001652EA"/>
    <w:rsid w:val="00167C3E"/>
    <w:rsid w:val="00172E8C"/>
    <w:rsid w:val="00172EC2"/>
    <w:rsid w:val="00173CAE"/>
    <w:rsid w:val="0017448B"/>
    <w:rsid w:val="0017481B"/>
    <w:rsid w:val="001753BF"/>
    <w:rsid w:val="00175EFB"/>
    <w:rsid w:val="00181733"/>
    <w:rsid w:val="00181EA1"/>
    <w:rsid w:val="001822E0"/>
    <w:rsid w:val="00182568"/>
    <w:rsid w:val="00183997"/>
    <w:rsid w:val="00184CDD"/>
    <w:rsid w:val="00185A2B"/>
    <w:rsid w:val="00186FFF"/>
    <w:rsid w:val="00191F01"/>
    <w:rsid w:val="00193D50"/>
    <w:rsid w:val="001948AD"/>
    <w:rsid w:val="00196379"/>
    <w:rsid w:val="001A0BA6"/>
    <w:rsid w:val="001A128A"/>
    <w:rsid w:val="001A33D9"/>
    <w:rsid w:val="001A3AD7"/>
    <w:rsid w:val="001A54F2"/>
    <w:rsid w:val="001A56B4"/>
    <w:rsid w:val="001A7558"/>
    <w:rsid w:val="001A7D6B"/>
    <w:rsid w:val="001B15C2"/>
    <w:rsid w:val="001B2AE1"/>
    <w:rsid w:val="001B2E40"/>
    <w:rsid w:val="001B4FC4"/>
    <w:rsid w:val="001B78AE"/>
    <w:rsid w:val="001C019F"/>
    <w:rsid w:val="001C0CBF"/>
    <w:rsid w:val="001C17B3"/>
    <w:rsid w:val="001C234E"/>
    <w:rsid w:val="001C29C4"/>
    <w:rsid w:val="001C3F98"/>
    <w:rsid w:val="001C4C71"/>
    <w:rsid w:val="001C5FD9"/>
    <w:rsid w:val="001C6480"/>
    <w:rsid w:val="001C64F9"/>
    <w:rsid w:val="001C669E"/>
    <w:rsid w:val="001C6D3F"/>
    <w:rsid w:val="001C793C"/>
    <w:rsid w:val="001D0CC9"/>
    <w:rsid w:val="001D2C2F"/>
    <w:rsid w:val="001D33CE"/>
    <w:rsid w:val="001D483B"/>
    <w:rsid w:val="001D4A83"/>
    <w:rsid w:val="001D4F87"/>
    <w:rsid w:val="001D6396"/>
    <w:rsid w:val="001D7201"/>
    <w:rsid w:val="001D7A93"/>
    <w:rsid w:val="001D7EA1"/>
    <w:rsid w:val="001E0406"/>
    <w:rsid w:val="001E055D"/>
    <w:rsid w:val="001E122B"/>
    <w:rsid w:val="001E335E"/>
    <w:rsid w:val="001E5F0E"/>
    <w:rsid w:val="001E6155"/>
    <w:rsid w:val="001E65CE"/>
    <w:rsid w:val="001E67A1"/>
    <w:rsid w:val="001E69DD"/>
    <w:rsid w:val="001E6A03"/>
    <w:rsid w:val="001E7BA3"/>
    <w:rsid w:val="001F268C"/>
    <w:rsid w:val="001F41B9"/>
    <w:rsid w:val="001F4867"/>
    <w:rsid w:val="001F64A8"/>
    <w:rsid w:val="001F6502"/>
    <w:rsid w:val="001F6DE4"/>
    <w:rsid w:val="0020238E"/>
    <w:rsid w:val="002045F5"/>
    <w:rsid w:val="0020468B"/>
    <w:rsid w:val="00205954"/>
    <w:rsid w:val="00206851"/>
    <w:rsid w:val="00206D06"/>
    <w:rsid w:val="00212599"/>
    <w:rsid w:val="0021402D"/>
    <w:rsid w:val="00214523"/>
    <w:rsid w:val="0021486D"/>
    <w:rsid w:val="00215200"/>
    <w:rsid w:val="00216237"/>
    <w:rsid w:val="00216534"/>
    <w:rsid w:val="002167ED"/>
    <w:rsid w:val="002170BA"/>
    <w:rsid w:val="00217796"/>
    <w:rsid w:val="00220774"/>
    <w:rsid w:val="002214EC"/>
    <w:rsid w:val="00222459"/>
    <w:rsid w:val="0022260A"/>
    <w:rsid w:val="00222631"/>
    <w:rsid w:val="00223727"/>
    <w:rsid w:val="002268EF"/>
    <w:rsid w:val="002308D0"/>
    <w:rsid w:val="00231A3F"/>
    <w:rsid w:val="00231B4E"/>
    <w:rsid w:val="00232D13"/>
    <w:rsid w:val="00236A90"/>
    <w:rsid w:val="00237D19"/>
    <w:rsid w:val="00240244"/>
    <w:rsid w:val="00241058"/>
    <w:rsid w:val="002459A1"/>
    <w:rsid w:val="0024662A"/>
    <w:rsid w:val="00247535"/>
    <w:rsid w:val="00250E49"/>
    <w:rsid w:val="00253930"/>
    <w:rsid w:val="002554B1"/>
    <w:rsid w:val="0025720D"/>
    <w:rsid w:val="00257DC5"/>
    <w:rsid w:val="0026012B"/>
    <w:rsid w:val="002619E6"/>
    <w:rsid w:val="00262BA2"/>
    <w:rsid w:val="00262DD5"/>
    <w:rsid w:val="00262DDD"/>
    <w:rsid w:val="0026348F"/>
    <w:rsid w:val="00263DAB"/>
    <w:rsid w:val="00264314"/>
    <w:rsid w:val="00265A42"/>
    <w:rsid w:val="00265C36"/>
    <w:rsid w:val="002669D8"/>
    <w:rsid w:val="002676DD"/>
    <w:rsid w:val="00267C2C"/>
    <w:rsid w:val="002701F1"/>
    <w:rsid w:val="002708E3"/>
    <w:rsid w:val="00270F98"/>
    <w:rsid w:val="002723D9"/>
    <w:rsid w:val="00273481"/>
    <w:rsid w:val="002736E9"/>
    <w:rsid w:val="00274A6E"/>
    <w:rsid w:val="00274E0B"/>
    <w:rsid w:val="0027624B"/>
    <w:rsid w:val="00277573"/>
    <w:rsid w:val="00277FAC"/>
    <w:rsid w:val="00284B75"/>
    <w:rsid w:val="002871E4"/>
    <w:rsid w:val="002872E8"/>
    <w:rsid w:val="002874BC"/>
    <w:rsid w:val="002916CD"/>
    <w:rsid w:val="00291BE4"/>
    <w:rsid w:val="002920C4"/>
    <w:rsid w:val="00293AE3"/>
    <w:rsid w:val="00294491"/>
    <w:rsid w:val="00294CD3"/>
    <w:rsid w:val="00294ED9"/>
    <w:rsid w:val="00296152"/>
    <w:rsid w:val="002A0779"/>
    <w:rsid w:val="002A0FB4"/>
    <w:rsid w:val="002A13E1"/>
    <w:rsid w:val="002A1CC3"/>
    <w:rsid w:val="002A7CEA"/>
    <w:rsid w:val="002B03FD"/>
    <w:rsid w:val="002B16F0"/>
    <w:rsid w:val="002B25C5"/>
    <w:rsid w:val="002B42D0"/>
    <w:rsid w:val="002B5E39"/>
    <w:rsid w:val="002C018D"/>
    <w:rsid w:val="002C397E"/>
    <w:rsid w:val="002C5F52"/>
    <w:rsid w:val="002C6991"/>
    <w:rsid w:val="002D1861"/>
    <w:rsid w:val="002D33D5"/>
    <w:rsid w:val="002D5062"/>
    <w:rsid w:val="002D5A7C"/>
    <w:rsid w:val="002D7730"/>
    <w:rsid w:val="002D7845"/>
    <w:rsid w:val="002D7A9E"/>
    <w:rsid w:val="002D7FA6"/>
    <w:rsid w:val="002E052C"/>
    <w:rsid w:val="002E15E6"/>
    <w:rsid w:val="002E2DF4"/>
    <w:rsid w:val="002E3599"/>
    <w:rsid w:val="002E3718"/>
    <w:rsid w:val="002E5FA0"/>
    <w:rsid w:val="002F1286"/>
    <w:rsid w:val="002F2D82"/>
    <w:rsid w:val="002F4D1F"/>
    <w:rsid w:val="00300A14"/>
    <w:rsid w:val="00300FDC"/>
    <w:rsid w:val="00303A46"/>
    <w:rsid w:val="00305288"/>
    <w:rsid w:val="00305A5E"/>
    <w:rsid w:val="00306705"/>
    <w:rsid w:val="00307DCA"/>
    <w:rsid w:val="0031112F"/>
    <w:rsid w:val="00312187"/>
    <w:rsid w:val="00312448"/>
    <w:rsid w:val="00312989"/>
    <w:rsid w:val="00316110"/>
    <w:rsid w:val="0032027F"/>
    <w:rsid w:val="003214C8"/>
    <w:rsid w:val="0032199E"/>
    <w:rsid w:val="003219BF"/>
    <w:rsid w:val="003240ED"/>
    <w:rsid w:val="00324D9F"/>
    <w:rsid w:val="0032539C"/>
    <w:rsid w:val="00325B70"/>
    <w:rsid w:val="003261C3"/>
    <w:rsid w:val="003273FF"/>
    <w:rsid w:val="0033191B"/>
    <w:rsid w:val="003323CF"/>
    <w:rsid w:val="0033295B"/>
    <w:rsid w:val="0033305A"/>
    <w:rsid w:val="00333E0F"/>
    <w:rsid w:val="00333EC3"/>
    <w:rsid w:val="00334791"/>
    <w:rsid w:val="0033582A"/>
    <w:rsid w:val="00335F93"/>
    <w:rsid w:val="00336404"/>
    <w:rsid w:val="00337335"/>
    <w:rsid w:val="00342263"/>
    <w:rsid w:val="00343178"/>
    <w:rsid w:val="0034359C"/>
    <w:rsid w:val="003447EE"/>
    <w:rsid w:val="003457C0"/>
    <w:rsid w:val="00346979"/>
    <w:rsid w:val="00346B8F"/>
    <w:rsid w:val="00346E1E"/>
    <w:rsid w:val="00346E5A"/>
    <w:rsid w:val="00347E50"/>
    <w:rsid w:val="00351259"/>
    <w:rsid w:val="00351680"/>
    <w:rsid w:val="003516FD"/>
    <w:rsid w:val="00352005"/>
    <w:rsid w:val="003525AA"/>
    <w:rsid w:val="00357C5E"/>
    <w:rsid w:val="003619F2"/>
    <w:rsid w:val="00362551"/>
    <w:rsid w:val="00364DE5"/>
    <w:rsid w:val="0036645E"/>
    <w:rsid w:val="00366E2A"/>
    <w:rsid w:val="00366EE2"/>
    <w:rsid w:val="00370CC9"/>
    <w:rsid w:val="003715FF"/>
    <w:rsid w:val="00372212"/>
    <w:rsid w:val="00373315"/>
    <w:rsid w:val="003736AC"/>
    <w:rsid w:val="00373EE2"/>
    <w:rsid w:val="003759D5"/>
    <w:rsid w:val="00375AAF"/>
    <w:rsid w:val="00375EF0"/>
    <w:rsid w:val="0038034D"/>
    <w:rsid w:val="003811C2"/>
    <w:rsid w:val="00382CD0"/>
    <w:rsid w:val="00383523"/>
    <w:rsid w:val="0038477B"/>
    <w:rsid w:val="003907C0"/>
    <w:rsid w:val="0039081F"/>
    <w:rsid w:val="00391BD9"/>
    <w:rsid w:val="00391F69"/>
    <w:rsid w:val="0039327D"/>
    <w:rsid w:val="003938E8"/>
    <w:rsid w:val="00394798"/>
    <w:rsid w:val="00394AEB"/>
    <w:rsid w:val="00395B41"/>
    <w:rsid w:val="00395C9B"/>
    <w:rsid w:val="00395E49"/>
    <w:rsid w:val="00396393"/>
    <w:rsid w:val="00396CA1"/>
    <w:rsid w:val="003A2703"/>
    <w:rsid w:val="003A322F"/>
    <w:rsid w:val="003A4151"/>
    <w:rsid w:val="003A5B05"/>
    <w:rsid w:val="003A6522"/>
    <w:rsid w:val="003A6D1E"/>
    <w:rsid w:val="003A793A"/>
    <w:rsid w:val="003B115D"/>
    <w:rsid w:val="003B15C1"/>
    <w:rsid w:val="003B3BB6"/>
    <w:rsid w:val="003B5103"/>
    <w:rsid w:val="003C033A"/>
    <w:rsid w:val="003C19EF"/>
    <w:rsid w:val="003C2448"/>
    <w:rsid w:val="003C324D"/>
    <w:rsid w:val="003C3D74"/>
    <w:rsid w:val="003C4600"/>
    <w:rsid w:val="003C5D53"/>
    <w:rsid w:val="003C725B"/>
    <w:rsid w:val="003D062D"/>
    <w:rsid w:val="003D0E36"/>
    <w:rsid w:val="003D1292"/>
    <w:rsid w:val="003D1382"/>
    <w:rsid w:val="003D2471"/>
    <w:rsid w:val="003D3F0D"/>
    <w:rsid w:val="003D55F1"/>
    <w:rsid w:val="003D7726"/>
    <w:rsid w:val="003E09F9"/>
    <w:rsid w:val="003E2115"/>
    <w:rsid w:val="003E29E3"/>
    <w:rsid w:val="003E408C"/>
    <w:rsid w:val="003E4238"/>
    <w:rsid w:val="003E77CC"/>
    <w:rsid w:val="003F3F08"/>
    <w:rsid w:val="003F4A51"/>
    <w:rsid w:val="003F4EC1"/>
    <w:rsid w:val="003F6A0D"/>
    <w:rsid w:val="003F78BF"/>
    <w:rsid w:val="003F78E5"/>
    <w:rsid w:val="0040053B"/>
    <w:rsid w:val="00400835"/>
    <w:rsid w:val="00400A55"/>
    <w:rsid w:val="00402E31"/>
    <w:rsid w:val="00403C1C"/>
    <w:rsid w:val="0040582D"/>
    <w:rsid w:val="00405C49"/>
    <w:rsid w:val="00405E94"/>
    <w:rsid w:val="004063BD"/>
    <w:rsid w:val="00406682"/>
    <w:rsid w:val="0040789B"/>
    <w:rsid w:val="00410012"/>
    <w:rsid w:val="00411413"/>
    <w:rsid w:val="004115A6"/>
    <w:rsid w:val="0041459E"/>
    <w:rsid w:val="0041490F"/>
    <w:rsid w:val="004158EB"/>
    <w:rsid w:val="00416B1A"/>
    <w:rsid w:val="00423425"/>
    <w:rsid w:val="00425943"/>
    <w:rsid w:val="00426205"/>
    <w:rsid w:val="00426537"/>
    <w:rsid w:val="00426C3E"/>
    <w:rsid w:val="00426D2E"/>
    <w:rsid w:val="00427279"/>
    <w:rsid w:val="00427337"/>
    <w:rsid w:val="0042778B"/>
    <w:rsid w:val="004309DC"/>
    <w:rsid w:val="004315CD"/>
    <w:rsid w:val="004342D9"/>
    <w:rsid w:val="0043582A"/>
    <w:rsid w:val="004359ED"/>
    <w:rsid w:val="00436C99"/>
    <w:rsid w:val="00437142"/>
    <w:rsid w:val="004374F2"/>
    <w:rsid w:val="00443D53"/>
    <w:rsid w:val="00444D5D"/>
    <w:rsid w:val="00444D97"/>
    <w:rsid w:val="00444F42"/>
    <w:rsid w:val="00451859"/>
    <w:rsid w:val="004521C2"/>
    <w:rsid w:val="00452E7E"/>
    <w:rsid w:val="00455006"/>
    <w:rsid w:val="004566BF"/>
    <w:rsid w:val="004566F6"/>
    <w:rsid w:val="004576D5"/>
    <w:rsid w:val="00460562"/>
    <w:rsid w:val="00463111"/>
    <w:rsid w:val="00464D5C"/>
    <w:rsid w:val="00464FD8"/>
    <w:rsid w:val="00465937"/>
    <w:rsid w:val="00467E01"/>
    <w:rsid w:val="00467EC0"/>
    <w:rsid w:val="00467FA8"/>
    <w:rsid w:val="00470480"/>
    <w:rsid w:val="004708D4"/>
    <w:rsid w:val="00471402"/>
    <w:rsid w:val="0047300C"/>
    <w:rsid w:val="004739EE"/>
    <w:rsid w:val="0047405F"/>
    <w:rsid w:val="00474AB4"/>
    <w:rsid w:val="004759E4"/>
    <w:rsid w:val="004777B2"/>
    <w:rsid w:val="00477B8D"/>
    <w:rsid w:val="00480600"/>
    <w:rsid w:val="00481999"/>
    <w:rsid w:val="004838C2"/>
    <w:rsid w:val="00483A50"/>
    <w:rsid w:val="00483DE9"/>
    <w:rsid w:val="004851E3"/>
    <w:rsid w:val="00485D66"/>
    <w:rsid w:val="0048672B"/>
    <w:rsid w:val="004875D7"/>
    <w:rsid w:val="00495871"/>
    <w:rsid w:val="004A0A44"/>
    <w:rsid w:val="004A5163"/>
    <w:rsid w:val="004A5822"/>
    <w:rsid w:val="004A5C59"/>
    <w:rsid w:val="004A745D"/>
    <w:rsid w:val="004B03C9"/>
    <w:rsid w:val="004B04FD"/>
    <w:rsid w:val="004B37B2"/>
    <w:rsid w:val="004B3BA4"/>
    <w:rsid w:val="004B3CC8"/>
    <w:rsid w:val="004B50B0"/>
    <w:rsid w:val="004B5203"/>
    <w:rsid w:val="004B645E"/>
    <w:rsid w:val="004C018D"/>
    <w:rsid w:val="004C019F"/>
    <w:rsid w:val="004C0431"/>
    <w:rsid w:val="004C1A11"/>
    <w:rsid w:val="004C207F"/>
    <w:rsid w:val="004C2388"/>
    <w:rsid w:val="004C2FD2"/>
    <w:rsid w:val="004C7158"/>
    <w:rsid w:val="004D0C89"/>
    <w:rsid w:val="004D0E41"/>
    <w:rsid w:val="004D1A18"/>
    <w:rsid w:val="004D2272"/>
    <w:rsid w:val="004D2F8E"/>
    <w:rsid w:val="004D37C9"/>
    <w:rsid w:val="004D3B1B"/>
    <w:rsid w:val="004D575B"/>
    <w:rsid w:val="004D678C"/>
    <w:rsid w:val="004E08B9"/>
    <w:rsid w:val="004E0B56"/>
    <w:rsid w:val="004E10FA"/>
    <w:rsid w:val="004E2FAE"/>
    <w:rsid w:val="004E38A6"/>
    <w:rsid w:val="004E38B4"/>
    <w:rsid w:val="004E394E"/>
    <w:rsid w:val="004E40EC"/>
    <w:rsid w:val="004E4369"/>
    <w:rsid w:val="004E5813"/>
    <w:rsid w:val="004E5A38"/>
    <w:rsid w:val="004E6794"/>
    <w:rsid w:val="004E7FD0"/>
    <w:rsid w:val="004F11C0"/>
    <w:rsid w:val="004F3891"/>
    <w:rsid w:val="004F3903"/>
    <w:rsid w:val="004F6757"/>
    <w:rsid w:val="004F68B2"/>
    <w:rsid w:val="00500133"/>
    <w:rsid w:val="00500502"/>
    <w:rsid w:val="00502BB6"/>
    <w:rsid w:val="00503ADF"/>
    <w:rsid w:val="00505E84"/>
    <w:rsid w:val="0050602D"/>
    <w:rsid w:val="00506914"/>
    <w:rsid w:val="00512CE4"/>
    <w:rsid w:val="0051377F"/>
    <w:rsid w:val="005148EB"/>
    <w:rsid w:val="00514B59"/>
    <w:rsid w:val="00514E4B"/>
    <w:rsid w:val="005150A0"/>
    <w:rsid w:val="0051629B"/>
    <w:rsid w:val="0052026A"/>
    <w:rsid w:val="005212EC"/>
    <w:rsid w:val="00521E6F"/>
    <w:rsid w:val="00523317"/>
    <w:rsid w:val="0052413A"/>
    <w:rsid w:val="005248D5"/>
    <w:rsid w:val="00524C9A"/>
    <w:rsid w:val="00525977"/>
    <w:rsid w:val="005275FB"/>
    <w:rsid w:val="005307DB"/>
    <w:rsid w:val="005315EB"/>
    <w:rsid w:val="00531F31"/>
    <w:rsid w:val="005325B2"/>
    <w:rsid w:val="00534CAE"/>
    <w:rsid w:val="0053544E"/>
    <w:rsid w:val="00535EAB"/>
    <w:rsid w:val="00537521"/>
    <w:rsid w:val="00537722"/>
    <w:rsid w:val="00541631"/>
    <w:rsid w:val="00541EDD"/>
    <w:rsid w:val="00542626"/>
    <w:rsid w:val="00545322"/>
    <w:rsid w:val="005461E8"/>
    <w:rsid w:val="005464B5"/>
    <w:rsid w:val="00551AC5"/>
    <w:rsid w:val="00553710"/>
    <w:rsid w:val="005546FB"/>
    <w:rsid w:val="00554736"/>
    <w:rsid w:val="005548FD"/>
    <w:rsid w:val="005574E0"/>
    <w:rsid w:val="00557735"/>
    <w:rsid w:val="00560CAA"/>
    <w:rsid w:val="00561260"/>
    <w:rsid w:val="0056290C"/>
    <w:rsid w:val="00564065"/>
    <w:rsid w:val="00565E62"/>
    <w:rsid w:val="005664C4"/>
    <w:rsid w:val="0057059D"/>
    <w:rsid w:val="005708A7"/>
    <w:rsid w:val="0057164E"/>
    <w:rsid w:val="0057346B"/>
    <w:rsid w:val="00573AA7"/>
    <w:rsid w:val="005743BC"/>
    <w:rsid w:val="005745C1"/>
    <w:rsid w:val="00574651"/>
    <w:rsid w:val="00580977"/>
    <w:rsid w:val="00582CB3"/>
    <w:rsid w:val="005835F9"/>
    <w:rsid w:val="0058375B"/>
    <w:rsid w:val="00585BEA"/>
    <w:rsid w:val="00586BA6"/>
    <w:rsid w:val="00590471"/>
    <w:rsid w:val="005913BC"/>
    <w:rsid w:val="005935F9"/>
    <w:rsid w:val="00593F68"/>
    <w:rsid w:val="00596ADC"/>
    <w:rsid w:val="00596F6A"/>
    <w:rsid w:val="0059749A"/>
    <w:rsid w:val="005A0943"/>
    <w:rsid w:val="005A0C4D"/>
    <w:rsid w:val="005A1BBE"/>
    <w:rsid w:val="005A2A26"/>
    <w:rsid w:val="005A2A77"/>
    <w:rsid w:val="005A325B"/>
    <w:rsid w:val="005A394F"/>
    <w:rsid w:val="005A47EA"/>
    <w:rsid w:val="005A49D8"/>
    <w:rsid w:val="005A5203"/>
    <w:rsid w:val="005A5CA8"/>
    <w:rsid w:val="005A5FCE"/>
    <w:rsid w:val="005A6030"/>
    <w:rsid w:val="005A60C2"/>
    <w:rsid w:val="005B00A1"/>
    <w:rsid w:val="005B0B34"/>
    <w:rsid w:val="005B208C"/>
    <w:rsid w:val="005B26C4"/>
    <w:rsid w:val="005B35C5"/>
    <w:rsid w:val="005B5DEF"/>
    <w:rsid w:val="005B64A8"/>
    <w:rsid w:val="005B6A03"/>
    <w:rsid w:val="005B7989"/>
    <w:rsid w:val="005B7C67"/>
    <w:rsid w:val="005C0EEE"/>
    <w:rsid w:val="005C12CF"/>
    <w:rsid w:val="005C48FB"/>
    <w:rsid w:val="005C56CD"/>
    <w:rsid w:val="005C709A"/>
    <w:rsid w:val="005D4379"/>
    <w:rsid w:val="005D5B19"/>
    <w:rsid w:val="005D5CDD"/>
    <w:rsid w:val="005D780E"/>
    <w:rsid w:val="005E0FD3"/>
    <w:rsid w:val="005E24A6"/>
    <w:rsid w:val="005E44D3"/>
    <w:rsid w:val="005E4FF4"/>
    <w:rsid w:val="005E69DE"/>
    <w:rsid w:val="005E6FC4"/>
    <w:rsid w:val="005E7512"/>
    <w:rsid w:val="005F0442"/>
    <w:rsid w:val="005F0565"/>
    <w:rsid w:val="005F1948"/>
    <w:rsid w:val="005F1F0F"/>
    <w:rsid w:val="005F3B00"/>
    <w:rsid w:val="005F4039"/>
    <w:rsid w:val="005F4211"/>
    <w:rsid w:val="005F4336"/>
    <w:rsid w:val="005F46EF"/>
    <w:rsid w:val="005F48B2"/>
    <w:rsid w:val="005F5BD5"/>
    <w:rsid w:val="005F6797"/>
    <w:rsid w:val="005F6897"/>
    <w:rsid w:val="005F68EC"/>
    <w:rsid w:val="005F725D"/>
    <w:rsid w:val="0060007F"/>
    <w:rsid w:val="006007F5"/>
    <w:rsid w:val="006016E9"/>
    <w:rsid w:val="00601841"/>
    <w:rsid w:val="00601EB4"/>
    <w:rsid w:val="00602D89"/>
    <w:rsid w:val="00604E64"/>
    <w:rsid w:val="00605268"/>
    <w:rsid w:val="00606A63"/>
    <w:rsid w:val="00606EF3"/>
    <w:rsid w:val="006141A0"/>
    <w:rsid w:val="006155F7"/>
    <w:rsid w:val="006167DE"/>
    <w:rsid w:val="00616F27"/>
    <w:rsid w:val="006174CD"/>
    <w:rsid w:val="00617E1A"/>
    <w:rsid w:val="00621D68"/>
    <w:rsid w:val="006227E9"/>
    <w:rsid w:val="00623089"/>
    <w:rsid w:val="006235B0"/>
    <w:rsid w:val="00624ED8"/>
    <w:rsid w:val="00625789"/>
    <w:rsid w:val="00626438"/>
    <w:rsid w:val="0062737C"/>
    <w:rsid w:val="00630398"/>
    <w:rsid w:val="00630686"/>
    <w:rsid w:val="006306F2"/>
    <w:rsid w:val="00630796"/>
    <w:rsid w:val="00632619"/>
    <w:rsid w:val="00634A79"/>
    <w:rsid w:val="006357F9"/>
    <w:rsid w:val="006359CB"/>
    <w:rsid w:val="006363BD"/>
    <w:rsid w:val="00637B07"/>
    <w:rsid w:val="00640AAF"/>
    <w:rsid w:val="00641347"/>
    <w:rsid w:val="00643A6B"/>
    <w:rsid w:val="00644438"/>
    <w:rsid w:val="006446AD"/>
    <w:rsid w:val="00645131"/>
    <w:rsid w:val="00647D52"/>
    <w:rsid w:val="00647ED8"/>
    <w:rsid w:val="00650AEA"/>
    <w:rsid w:val="00650EB9"/>
    <w:rsid w:val="00650F91"/>
    <w:rsid w:val="0065169F"/>
    <w:rsid w:val="00653D14"/>
    <w:rsid w:val="006557C5"/>
    <w:rsid w:val="00656556"/>
    <w:rsid w:val="00664522"/>
    <w:rsid w:val="00665703"/>
    <w:rsid w:val="00665D7E"/>
    <w:rsid w:val="006661CF"/>
    <w:rsid w:val="006671F4"/>
    <w:rsid w:val="00670666"/>
    <w:rsid w:val="0067130E"/>
    <w:rsid w:val="00672D3C"/>
    <w:rsid w:val="0067321B"/>
    <w:rsid w:val="00680F0C"/>
    <w:rsid w:val="00682CD5"/>
    <w:rsid w:val="00684A83"/>
    <w:rsid w:val="00686715"/>
    <w:rsid w:val="00687FE0"/>
    <w:rsid w:val="0069042C"/>
    <w:rsid w:val="00692383"/>
    <w:rsid w:val="00692C61"/>
    <w:rsid w:val="00694F14"/>
    <w:rsid w:val="00695188"/>
    <w:rsid w:val="00695614"/>
    <w:rsid w:val="00695E14"/>
    <w:rsid w:val="006963EA"/>
    <w:rsid w:val="006977D8"/>
    <w:rsid w:val="00697D04"/>
    <w:rsid w:val="006A160F"/>
    <w:rsid w:val="006A18A9"/>
    <w:rsid w:val="006A1B7D"/>
    <w:rsid w:val="006A336F"/>
    <w:rsid w:val="006A3E5D"/>
    <w:rsid w:val="006A423B"/>
    <w:rsid w:val="006A56F2"/>
    <w:rsid w:val="006A6A16"/>
    <w:rsid w:val="006A7A0F"/>
    <w:rsid w:val="006B0AF4"/>
    <w:rsid w:val="006B0E4B"/>
    <w:rsid w:val="006B112E"/>
    <w:rsid w:val="006B18A3"/>
    <w:rsid w:val="006B3DC7"/>
    <w:rsid w:val="006B437C"/>
    <w:rsid w:val="006B5F4A"/>
    <w:rsid w:val="006B7421"/>
    <w:rsid w:val="006B74AD"/>
    <w:rsid w:val="006C01A4"/>
    <w:rsid w:val="006C203B"/>
    <w:rsid w:val="006C3371"/>
    <w:rsid w:val="006C621E"/>
    <w:rsid w:val="006C6286"/>
    <w:rsid w:val="006C6A13"/>
    <w:rsid w:val="006C7583"/>
    <w:rsid w:val="006C76AE"/>
    <w:rsid w:val="006C7E2C"/>
    <w:rsid w:val="006C7F3D"/>
    <w:rsid w:val="006D22B1"/>
    <w:rsid w:val="006D2474"/>
    <w:rsid w:val="006D27E8"/>
    <w:rsid w:val="006D2856"/>
    <w:rsid w:val="006D345A"/>
    <w:rsid w:val="006D3787"/>
    <w:rsid w:val="006E1563"/>
    <w:rsid w:val="006E29DE"/>
    <w:rsid w:val="006E3434"/>
    <w:rsid w:val="006E4942"/>
    <w:rsid w:val="006E56DA"/>
    <w:rsid w:val="006E5BD1"/>
    <w:rsid w:val="006F2F5A"/>
    <w:rsid w:val="006F321C"/>
    <w:rsid w:val="006F467E"/>
    <w:rsid w:val="006F7A6A"/>
    <w:rsid w:val="00700083"/>
    <w:rsid w:val="0070218C"/>
    <w:rsid w:val="007026EC"/>
    <w:rsid w:val="0070290A"/>
    <w:rsid w:val="00702DFD"/>
    <w:rsid w:val="00703744"/>
    <w:rsid w:val="00706562"/>
    <w:rsid w:val="00706CC0"/>
    <w:rsid w:val="00706D8A"/>
    <w:rsid w:val="00706EE4"/>
    <w:rsid w:val="00710187"/>
    <w:rsid w:val="0071064E"/>
    <w:rsid w:val="00711910"/>
    <w:rsid w:val="007125C8"/>
    <w:rsid w:val="00712A62"/>
    <w:rsid w:val="007149E3"/>
    <w:rsid w:val="00714B37"/>
    <w:rsid w:val="00715950"/>
    <w:rsid w:val="00716BC1"/>
    <w:rsid w:val="007175FD"/>
    <w:rsid w:val="00717FFE"/>
    <w:rsid w:val="0072012B"/>
    <w:rsid w:val="007201A6"/>
    <w:rsid w:val="007207C1"/>
    <w:rsid w:val="00720ECD"/>
    <w:rsid w:val="00721504"/>
    <w:rsid w:val="00722830"/>
    <w:rsid w:val="00722CBD"/>
    <w:rsid w:val="007241BA"/>
    <w:rsid w:val="00724FF8"/>
    <w:rsid w:val="00725D4D"/>
    <w:rsid w:val="00725EA8"/>
    <w:rsid w:val="00726875"/>
    <w:rsid w:val="00726963"/>
    <w:rsid w:val="007269B8"/>
    <w:rsid w:val="00727EAF"/>
    <w:rsid w:val="007319FC"/>
    <w:rsid w:val="00734A12"/>
    <w:rsid w:val="00734D63"/>
    <w:rsid w:val="00736683"/>
    <w:rsid w:val="00737392"/>
    <w:rsid w:val="007379C8"/>
    <w:rsid w:val="007379DF"/>
    <w:rsid w:val="00740DFB"/>
    <w:rsid w:val="007410BC"/>
    <w:rsid w:val="007413AA"/>
    <w:rsid w:val="00741DD8"/>
    <w:rsid w:val="00742205"/>
    <w:rsid w:val="007435C4"/>
    <w:rsid w:val="00743B22"/>
    <w:rsid w:val="00743BA5"/>
    <w:rsid w:val="007456E9"/>
    <w:rsid w:val="007460FF"/>
    <w:rsid w:val="007467A4"/>
    <w:rsid w:val="00747867"/>
    <w:rsid w:val="00750047"/>
    <w:rsid w:val="00750867"/>
    <w:rsid w:val="00750C47"/>
    <w:rsid w:val="0075308C"/>
    <w:rsid w:val="007532D6"/>
    <w:rsid w:val="00753597"/>
    <w:rsid w:val="00754983"/>
    <w:rsid w:val="007549D0"/>
    <w:rsid w:val="00755750"/>
    <w:rsid w:val="0075726B"/>
    <w:rsid w:val="0076057A"/>
    <w:rsid w:val="0076110B"/>
    <w:rsid w:val="00761893"/>
    <w:rsid w:val="00762C8F"/>
    <w:rsid w:val="00766222"/>
    <w:rsid w:val="00766CAE"/>
    <w:rsid w:val="00767037"/>
    <w:rsid w:val="0076748D"/>
    <w:rsid w:val="0077229C"/>
    <w:rsid w:val="00772392"/>
    <w:rsid w:val="007753B7"/>
    <w:rsid w:val="00777897"/>
    <w:rsid w:val="00777B6A"/>
    <w:rsid w:val="0078083E"/>
    <w:rsid w:val="00782C86"/>
    <w:rsid w:val="00785F7E"/>
    <w:rsid w:val="00786714"/>
    <w:rsid w:val="00786738"/>
    <w:rsid w:val="00786FD4"/>
    <w:rsid w:val="007872FF"/>
    <w:rsid w:val="007907E0"/>
    <w:rsid w:val="007913DE"/>
    <w:rsid w:val="007915D4"/>
    <w:rsid w:val="0079194C"/>
    <w:rsid w:val="00792DEF"/>
    <w:rsid w:val="007945D2"/>
    <w:rsid w:val="0079570D"/>
    <w:rsid w:val="00795878"/>
    <w:rsid w:val="00795BE5"/>
    <w:rsid w:val="00795ECA"/>
    <w:rsid w:val="00795ED3"/>
    <w:rsid w:val="00796394"/>
    <w:rsid w:val="00797A17"/>
    <w:rsid w:val="00797C83"/>
    <w:rsid w:val="007A0B8B"/>
    <w:rsid w:val="007A17C8"/>
    <w:rsid w:val="007A1E2C"/>
    <w:rsid w:val="007A2359"/>
    <w:rsid w:val="007A446B"/>
    <w:rsid w:val="007A4BAF"/>
    <w:rsid w:val="007A4BF0"/>
    <w:rsid w:val="007B0891"/>
    <w:rsid w:val="007B26BB"/>
    <w:rsid w:val="007B2754"/>
    <w:rsid w:val="007B40F2"/>
    <w:rsid w:val="007B4CB6"/>
    <w:rsid w:val="007B5DAD"/>
    <w:rsid w:val="007B60CF"/>
    <w:rsid w:val="007B79D1"/>
    <w:rsid w:val="007C0921"/>
    <w:rsid w:val="007C1941"/>
    <w:rsid w:val="007C2C94"/>
    <w:rsid w:val="007C3D95"/>
    <w:rsid w:val="007C5ED8"/>
    <w:rsid w:val="007C736B"/>
    <w:rsid w:val="007D02A5"/>
    <w:rsid w:val="007D34DB"/>
    <w:rsid w:val="007D3CB9"/>
    <w:rsid w:val="007D4489"/>
    <w:rsid w:val="007E1721"/>
    <w:rsid w:val="007E3DF3"/>
    <w:rsid w:val="007E47AB"/>
    <w:rsid w:val="007E6E2F"/>
    <w:rsid w:val="007E76CC"/>
    <w:rsid w:val="007E79DA"/>
    <w:rsid w:val="007F22C8"/>
    <w:rsid w:val="007F303B"/>
    <w:rsid w:val="007F754D"/>
    <w:rsid w:val="008011EF"/>
    <w:rsid w:val="00805795"/>
    <w:rsid w:val="00806CF5"/>
    <w:rsid w:val="008103EC"/>
    <w:rsid w:val="00810FCD"/>
    <w:rsid w:val="008113E8"/>
    <w:rsid w:val="00812CDD"/>
    <w:rsid w:val="00813707"/>
    <w:rsid w:val="00814994"/>
    <w:rsid w:val="00815BA8"/>
    <w:rsid w:val="008162AA"/>
    <w:rsid w:val="00820B54"/>
    <w:rsid w:val="00821041"/>
    <w:rsid w:val="00822968"/>
    <w:rsid w:val="00824129"/>
    <w:rsid w:val="008244ED"/>
    <w:rsid w:val="00825084"/>
    <w:rsid w:val="00825A97"/>
    <w:rsid w:val="008266FF"/>
    <w:rsid w:val="008274AC"/>
    <w:rsid w:val="008300DD"/>
    <w:rsid w:val="00830257"/>
    <w:rsid w:val="00830511"/>
    <w:rsid w:val="00832E91"/>
    <w:rsid w:val="00833195"/>
    <w:rsid w:val="00834977"/>
    <w:rsid w:val="00834FCA"/>
    <w:rsid w:val="00835033"/>
    <w:rsid w:val="0083652D"/>
    <w:rsid w:val="00836815"/>
    <w:rsid w:val="0083706A"/>
    <w:rsid w:val="008373C5"/>
    <w:rsid w:val="00840FAA"/>
    <w:rsid w:val="0084251D"/>
    <w:rsid w:val="00842DCF"/>
    <w:rsid w:val="00846182"/>
    <w:rsid w:val="00846F7F"/>
    <w:rsid w:val="008534A0"/>
    <w:rsid w:val="00853DF9"/>
    <w:rsid w:val="0085545A"/>
    <w:rsid w:val="008610F9"/>
    <w:rsid w:val="00862868"/>
    <w:rsid w:val="00862DD9"/>
    <w:rsid w:val="00863672"/>
    <w:rsid w:val="00864645"/>
    <w:rsid w:val="00864BB7"/>
    <w:rsid w:val="0086588F"/>
    <w:rsid w:val="00865BEC"/>
    <w:rsid w:val="00865CC2"/>
    <w:rsid w:val="00866299"/>
    <w:rsid w:val="0086737A"/>
    <w:rsid w:val="008710C6"/>
    <w:rsid w:val="00871F57"/>
    <w:rsid w:val="0087249F"/>
    <w:rsid w:val="00872A6A"/>
    <w:rsid w:val="0087376A"/>
    <w:rsid w:val="008757B1"/>
    <w:rsid w:val="00875DAA"/>
    <w:rsid w:val="00875ECA"/>
    <w:rsid w:val="00877617"/>
    <w:rsid w:val="008776EF"/>
    <w:rsid w:val="00877C39"/>
    <w:rsid w:val="00877CF1"/>
    <w:rsid w:val="0088545A"/>
    <w:rsid w:val="00885C6A"/>
    <w:rsid w:val="00887B21"/>
    <w:rsid w:val="00887B2C"/>
    <w:rsid w:val="00891E02"/>
    <w:rsid w:val="0089246A"/>
    <w:rsid w:val="008926F4"/>
    <w:rsid w:val="00892C39"/>
    <w:rsid w:val="008937D0"/>
    <w:rsid w:val="00893C36"/>
    <w:rsid w:val="0089426E"/>
    <w:rsid w:val="00894E55"/>
    <w:rsid w:val="00895D6B"/>
    <w:rsid w:val="00895F9C"/>
    <w:rsid w:val="008A02AB"/>
    <w:rsid w:val="008A07BD"/>
    <w:rsid w:val="008A1335"/>
    <w:rsid w:val="008A2448"/>
    <w:rsid w:val="008A3604"/>
    <w:rsid w:val="008A5D80"/>
    <w:rsid w:val="008A5FD0"/>
    <w:rsid w:val="008A79BC"/>
    <w:rsid w:val="008B0CA6"/>
    <w:rsid w:val="008B1236"/>
    <w:rsid w:val="008B20B5"/>
    <w:rsid w:val="008B24FF"/>
    <w:rsid w:val="008B578F"/>
    <w:rsid w:val="008B59E2"/>
    <w:rsid w:val="008C2238"/>
    <w:rsid w:val="008C3374"/>
    <w:rsid w:val="008C49F0"/>
    <w:rsid w:val="008C6043"/>
    <w:rsid w:val="008C6BA3"/>
    <w:rsid w:val="008C74F4"/>
    <w:rsid w:val="008C797A"/>
    <w:rsid w:val="008C7FFB"/>
    <w:rsid w:val="008D1CE1"/>
    <w:rsid w:val="008D7032"/>
    <w:rsid w:val="008E0BBD"/>
    <w:rsid w:val="008E0DC7"/>
    <w:rsid w:val="008E1CFD"/>
    <w:rsid w:val="008E3B2A"/>
    <w:rsid w:val="008E5849"/>
    <w:rsid w:val="008F05B7"/>
    <w:rsid w:val="008F0668"/>
    <w:rsid w:val="008F0B39"/>
    <w:rsid w:val="008F11F5"/>
    <w:rsid w:val="008F1DAD"/>
    <w:rsid w:val="008F23AD"/>
    <w:rsid w:val="008F254F"/>
    <w:rsid w:val="008F53C3"/>
    <w:rsid w:val="008F77E4"/>
    <w:rsid w:val="008F7A5F"/>
    <w:rsid w:val="008F7AB6"/>
    <w:rsid w:val="00900B6F"/>
    <w:rsid w:val="00902C22"/>
    <w:rsid w:val="00904690"/>
    <w:rsid w:val="00904D19"/>
    <w:rsid w:val="00905AEE"/>
    <w:rsid w:val="00905F63"/>
    <w:rsid w:val="00906231"/>
    <w:rsid w:val="00906D23"/>
    <w:rsid w:val="0090726C"/>
    <w:rsid w:val="009101BC"/>
    <w:rsid w:val="009116D3"/>
    <w:rsid w:val="00912088"/>
    <w:rsid w:val="009122A6"/>
    <w:rsid w:val="00913F55"/>
    <w:rsid w:val="0091526D"/>
    <w:rsid w:val="009165A3"/>
    <w:rsid w:val="009169A3"/>
    <w:rsid w:val="009200DC"/>
    <w:rsid w:val="0092511A"/>
    <w:rsid w:val="0092532A"/>
    <w:rsid w:val="00925DDD"/>
    <w:rsid w:val="00927152"/>
    <w:rsid w:val="009320E7"/>
    <w:rsid w:val="00933D67"/>
    <w:rsid w:val="00934F85"/>
    <w:rsid w:val="00935E23"/>
    <w:rsid w:val="00935F93"/>
    <w:rsid w:val="00940819"/>
    <w:rsid w:val="009418C5"/>
    <w:rsid w:val="00944CC3"/>
    <w:rsid w:val="00947FB8"/>
    <w:rsid w:val="00950934"/>
    <w:rsid w:val="00950B2B"/>
    <w:rsid w:val="00951A73"/>
    <w:rsid w:val="009527C8"/>
    <w:rsid w:val="00953335"/>
    <w:rsid w:val="00953F6A"/>
    <w:rsid w:val="009552B5"/>
    <w:rsid w:val="00955891"/>
    <w:rsid w:val="00956DA6"/>
    <w:rsid w:val="00956F9C"/>
    <w:rsid w:val="0095730C"/>
    <w:rsid w:val="009579E4"/>
    <w:rsid w:val="009579FD"/>
    <w:rsid w:val="00957B7C"/>
    <w:rsid w:val="00965591"/>
    <w:rsid w:val="00965B63"/>
    <w:rsid w:val="009662A4"/>
    <w:rsid w:val="009667D3"/>
    <w:rsid w:val="00966C97"/>
    <w:rsid w:val="00967F87"/>
    <w:rsid w:val="00972338"/>
    <w:rsid w:val="00974F18"/>
    <w:rsid w:val="009756C9"/>
    <w:rsid w:val="00975E92"/>
    <w:rsid w:val="0097615F"/>
    <w:rsid w:val="009769F9"/>
    <w:rsid w:val="00980A22"/>
    <w:rsid w:val="00981DAE"/>
    <w:rsid w:val="00983EE7"/>
    <w:rsid w:val="00986894"/>
    <w:rsid w:val="009870E2"/>
    <w:rsid w:val="00987A5F"/>
    <w:rsid w:val="00987C7F"/>
    <w:rsid w:val="00990D1B"/>
    <w:rsid w:val="009913AC"/>
    <w:rsid w:val="00991A42"/>
    <w:rsid w:val="0099332D"/>
    <w:rsid w:val="009938AA"/>
    <w:rsid w:val="00993BBE"/>
    <w:rsid w:val="00994CA2"/>
    <w:rsid w:val="0099507A"/>
    <w:rsid w:val="009963C5"/>
    <w:rsid w:val="00997509"/>
    <w:rsid w:val="009A0356"/>
    <w:rsid w:val="009A29DA"/>
    <w:rsid w:val="009A2D6A"/>
    <w:rsid w:val="009A32C4"/>
    <w:rsid w:val="009A3500"/>
    <w:rsid w:val="009A3ABC"/>
    <w:rsid w:val="009A3E82"/>
    <w:rsid w:val="009A6F6A"/>
    <w:rsid w:val="009A7495"/>
    <w:rsid w:val="009A77CB"/>
    <w:rsid w:val="009B3A10"/>
    <w:rsid w:val="009B4788"/>
    <w:rsid w:val="009B487A"/>
    <w:rsid w:val="009B4DF2"/>
    <w:rsid w:val="009B6421"/>
    <w:rsid w:val="009C1322"/>
    <w:rsid w:val="009C46F3"/>
    <w:rsid w:val="009C5203"/>
    <w:rsid w:val="009C6590"/>
    <w:rsid w:val="009D4456"/>
    <w:rsid w:val="009D5052"/>
    <w:rsid w:val="009D6D2A"/>
    <w:rsid w:val="009E1611"/>
    <w:rsid w:val="009E4AB0"/>
    <w:rsid w:val="009E4C2E"/>
    <w:rsid w:val="009E5FB2"/>
    <w:rsid w:val="009E7F77"/>
    <w:rsid w:val="009F07CD"/>
    <w:rsid w:val="009F238A"/>
    <w:rsid w:val="009F249F"/>
    <w:rsid w:val="009F4326"/>
    <w:rsid w:val="009F44B9"/>
    <w:rsid w:val="009F533D"/>
    <w:rsid w:val="009F5CCB"/>
    <w:rsid w:val="009F6213"/>
    <w:rsid w:val="00A01EBD"/>
    <w:rsid w:val="00A066A6"/>
    <w:rsid w:val="00A10434"/>
    <w:rsid w:val="00A11041"/>
    <w:rsid w:val="00A119AE"/>
    <w:rsid w:val="00A13799"/>
    <w:rsid w:val="00A14082"/>
    <w:rsid w:val="00A1440A"/>
    <w:rsid w:val="00A14841"/>
    <w:rsid w:val="00A15AB9"/>
    <w:rsid w:val="00A20527"/>
    <w:rsid w:val="00A210F0"/>
    <w:rsid w:val="00A21D6D"/>
    <w:rsid w:val="00A22369"/>
    <w:rsid w:val="00A234D1"/>
    <w:rsid w:val="00A244CD"/>
    <w:rsid w:val="00A254A6"/>
    <w:rsid w:val="00A25C6B"/>
    <w:rsid w:val="00A25D35"/>
    <w:rsid w:val="00A26E20"/>
    <w:rsid w:val="00A30B38"/>
    <w:rsid w:val="00A31842"/>
    <w:rsid w:val="00A3351C"/>
    <w:rsid w:val="00A33C61"/>
    <w:rsid w:val="00A34588"/>
    <w:rsid w:val="00A34686"/>
    <w:rsid w:val="00A34D06"/>
    <w:rsid w:val="00A360A3"/>
    <w:rsid w:val="00A41F88"/>
    <w:rsid w:val="00A47255"/>
    <w:rsid w:val="00A50A2B"/>
    <w:rsid w:val="00A51861"/>
    <w:rsid w:val="00A52B8F"/>
    <w:rsid w:val="00A53821"/>
    <w:rsid w:val="00A54536"/>
    <w:rsid w:val="00A54F54"/>
    <w:rsid w:val="00A55C47"/>
    <w:rsid w:val="00A55CD6"/>
    <w:rsid w:val="00A55D7E"/>
    <w:rsid w:val="00A61D97"/>
    <w:rsid w:val="00A635DB"/>
    <w:rsid w:val="00A65982"/>
    <w:rsid w:val="00A667F2"/>
    <w:rsid w:val="00A67698"/>
    <w:rsid w:val="00A70DD9"/>
    <w:rsid w:val="00A72C19"/>
    <w:rsid w:val="00A731F2"/>
    <w:rsid w:val="00A73910"/>
    <w:rsid w:val="00A75C5B"/>
    <w:rsid w:val="00A77EB2"/>
    <w:rsid w:val="00A85645"/>
    <w:rsid w:val="00A91121"/>
    <w:rsid w:val="00A9311E"/>
    <w:rsid w:val="00A937D0"/>
    <w:rsid w:val="00A93906"/>
    <w:rsid w:val="00A93A35"/>
    <w:rsid w:val="00A96A6E"/>
    <w:rsid w:val="00A971C8"/>
    <w:rsid w:val="00A97AD0"/>
    <w:rsid w:val="00AA0732"/>
    <w:rsid w:val="00AA19AD"/>
    <w:rsid w:val="00AA2171"/>
    <w:rsid w:val="00AA2AFC"/>
    <w:rsid w:val="00AA4196"/>
    <w:rsid w:val="00AA4BE2"/>
    <w:rsid w:val="00AA71D1"/>
    <w:rsid w:val="00AB0D4E"/>
    <w:rsid w:val="00AB21D7"/>
    <w:rsid w:val="00AB37C1"/>
    <w:rsid w:val="00AB4111"/>
    <w:rsid w:val="00AB4402"/>
    <w:rsid w:val="00AB4C92"/>
    <w:rsid w:val="00AB79F3"/>
    <w:rsid w:val="00AB7CF4"/>
    <w:rsid w:val="00AC27AE"/>
    <w:rsid w:val="00AC2CAB"/>
    <w:rsid w:val="00AC419F"/>
    <w:rsid w:val="00AC54B2"/>
    <w:rsid w:val="00AC6946"/>
    <w:rsid w:val="00AC7BAE"/>
    <w:rsid w:val="00AC7BFA"/>
    <w:rsid w:val="00AD1015"/>
    <w:rsid w:val="00AD1360"/>
    <w:rsid w:val="00AD1F0D"/>
    <w:rsid w:val="00AD2C79"/>
    <w:rsid w:val="00AD4209"/>
    <w:rsid w:val="00AD4DE2"/>
    <w:rsid w:val="00AD5558"/>
    <w:rsid w:val="00AE06D4"/>
    <w:rsid w:val="00AE1056"/>
    <w:rsid w:val="00AE2B2B"/>
    <w:rsid w:val="00AE2BB6"/>
    <w:rsid w:val="00AE2E1C"/>
    <w:rsid w:val="00AE35B8"/>
    <w:rsid w:val="00AE6DAA"/>
    <w:rsid w:val="00AE7AE2"/>
    <w:rsid w:val="00AE7BCD"/>
    <w:rsid w:val="00AF34B3"/>
    <w:rsid w:val="00AF3EA0"/>
    <w:rsid w:val="00AF6FCF"/>
    <w:rsid w:val="00AF7411"/>
    <w:rsid w:val="00B005EC"/>
    <w:rsid w:val="00B017F7"/>
    <w:rsid w:val="00B02291"/>
    <w:rsid w:val="00B02E89"/>
    <w:rsid w:val="00B044B2"/>
    <w:rsid w:val="00B0482E"/>
    <w:rsid w:val="00B04A9A"/>
    <w:rsid w:val="00B0501A"/>
    <w:rsid w:val="00B06B66"/>
    <w:rsid w:val="00B07BCD"/>
    <w:rsid w:val="00B07E07"/>
    <w:rsid w:val="00B101F4"/>
    <w:rsid w:val="00B10BF7"/>
    <w:rsid w:val="00B110A2"/>
    <w:rsid w:val="00B11F35"/>
    <w:rsid w:val="00B133D4"/>
    <w:rsid w:val="00B164F0"/>
    <w:rsid w:val="00B16659"/>
    <w:rsid w:val="00B178D4"/>
    <w:rsid w:val="00B1791C"/>
    <w:rsid w:val="00B17C17"/>
    <w:rsid w:val="00B21827"/>
    <w:rsid w:val="00B218EC"/>
    <w:rsid w:val="00B254D6"/>
    <w:rsid w:val="00B25C13"/>
    <w:rsid w:val="00B27E30"/>
    <w:rsid w:val="00B308E4"/>
    <w:rsid w:val="00B30C8C"/>
    <w:rsid w:val="00B315AC"/>
    <w:rsid w:val="00B3194B"/>
    <w:rsid w:val="00B320AB"/>
    <w:rsid w:val="00B36CAE"/>
    <w:rsid w:val="00B36D83"/>
    <w:rsid w:val="00B37689"/>
    <w:rsid w:val="00B37706"/>
    <w:rsid w:val="00B407BF"/>
    <w:rsid w:val="00B41E55"/>
    <w:rsid w:val="00B42694"/>
    <w:rsid w:val="00B442D2"/>
    <w:rsid w:val="00B44717"/>
    <w:rsid w:val="00B44DAF"/>
    <w:rsid w:val="00B46EFE"/>
    <w:rsid w:val="00B52887"/>
    <w:rsid w:val="00B5450E"/>
    <w:rsid w:val="00B570C4"/>
    <w:rsid w:val="00B571DF"/>
    <w:rsid w:val="00B626D3"/>
    <w:rsid w:val="00B62A41"/>
    <w:rsid w:val="00B640B7"/>
    <w:rsid w:val="00B6574F"/>
    <w:rsid w:val="00B675F0"/>
    <w:rsid w:val="00B67ACD"/>
    <w:rsid w:val="00B72737"/>
    <w:rsid w:val="00B73BB0"/>
    <w:rsid w:val="00B77CAC"/>
    <w:rsid w:val="00B833BB"/>
    <w:rsid w:val="00B835C3"/>
    <w:rsid w:val="00B83B88"/>
    <w:rsid w:val="00B851D2"/>
    <w:rsid w:val="00B85546"/>
    <w:rsid w:val="00B858BD"/>
    <w:rsid w:val="00B859FA"/>
    <w:rsid w:val="00B87A4D"/>
    <w:rsid w:val="00B90D3D"/>
    <w:rsid w:val="00B9265C"/>
    <w:rsid w:val="00B94B7F"/>
    <w:rsid w:val="00B94BA7"/>
    <w:rsid w:val="00B955E9"/>
    <w:rsid w:val="00B959A6"/>
    <w:rsid w:val="00B965E0"/>
    <w:rsid w:val="00B96B80"/>
    <w:rsid w:val="00B96D18"/>
    <w:rsid w:val="00B96EC7"/>
    <w:rsid w:val="00BA1FEE"/>
    <w:rsid w:val="00BA2168"/>
    <w:rsid w:val="00BA3C91"/>
    <w:rsid w:val="00BA477D"/>
    <w:rsid w:val="00BA4854"/>
    <w:rsid w:val="00BA6137"/>
    <w:rsid w:val="00BA6ECB"/>
    <w:rsid w:val="00BA7A40"/>
    <w:rsid w:val="00BB2872"/>
    <w:rsid w:val="00BB28E1"/>
    <w:rsid w:val="00BB36B6"/>
    <w:rsid w:val="00BB462D"/>
    <w:rsid w:val="00BB5405"/>
    <w:rsid w:val="00BB5B58"/>
    <w:rsid w:val="00BB6205"/>
    <w:rsid w:val="00BB6844"/>
    <w:rsid w:val="00BB6CFA"/>
    <w:rsid w:val="00BC188F"/>
    <w:rsid w:val="00BC6477"/>
    <w:rsid w:val="00BD056E"/>
    <w:rsid w:val="00BD1124"/>
    <w:rsid w:val="00BD1299"/>
    <w:rsid w:val="00BD2E0E"/>
    <w:rsid w:val="00BD6226"/>
    <w:rsid w:val="00BD691E"/>
    <w:rsid w:val="00BD73AA"/>
    <w:rsid w:val="00BD7A49"/>
    <w:rsid w:val="00BE158C"/>
    <w:rsid w:val="00BE1A41"/>
    <w:rsid w:val="00BE25A2"/>
    <w:rsid w:val="00BE262C"/>
    <w:rsid w:val="00BE37E3"/>
    <w:rsid w:val="00BE4241"/>
    <w:rsid w:val="00BE63F2"/>
    <w:rsid w:val="00BE6673"/>
    <w:rsid w:val="00BE6E1F"/>
    <w:rsid w:val="00BF045E"/>
    <w:rsid w:val="00BF1D92"/>
    <w:rsid w:val="00BF1E7C"/>
    <w:rsid w:val="00BF20E3"/>
    <w:rsid w:val="00BF2F8E"/>
    <w:rsid w:val="00BF679E"/>
    <w:rsid w:val="00BF7672"/>
    <w:rsid w:val="00BF7FF4"/>
    <w:rsid w:val="00C00766"/>
    <w:rsid w:val="00C02769"/>
    <w:rsid w:val="00C03BC5"/>
    <w:rsid w:val="00C0579C"/>
    <w:rsid w:val="00C06CB6"/>
    <w:rsid w:val="00C07CB5"/>
    <w:rsid w:val="00C07DD3"/>
    <w:rsid w:val="00C07E06"/>
    <w:rsid w:val="00C106EB"/>
    <w:rsid w:val="00C1179C"/>
    <w:rsid w:val="00C13109"/>
    <w:rsid w:val="00C14A14"/>
    <w:rsid w:val="00C14D9A"/>
    <w:rsid w:val="00C1588F"/>
    <w:rsid w:val="00C161CC"/>
    <w:rsid w:val="00C16B24"/>
    <w:rsid w:val="00C20A30"/>
    <w:rsid w:val="00C213EC"/>
    <w:rsid w:val="00C21DC6"/>
    <w:rsid w:val="00C268AB"/>
    <w:rsid w:val="00C312E2"/>
    <w:rsid w:val="00C334DE"/>
    <w:rsid w:val="00C33F49"/>
    <w:rsid w:val="00C35B5C"/>
    <w:rsid w:val="00C3630B"/>
    <w:rsid w:val="00C36D1D"/>
    <w:rsid w:val="00C36D44"/>
    <w:rsid w:val="00C42C57"/>
    <w:rsid w:val="00C430B6"/>
    <w:rsid w:val="00C43433"/>
    <w:rsid w:val="00C45AFA"/>
    <w:rsid w:val="00C47450"/>
    <w:rsid w:val="00C47D2C"/>
    <w:rsid w:val="00C50850"/>
    <w:rsid w:val="00C50F08"/>
    <w:rsid w:val="00C5195A"/>
    <w:rsid w:val="00C51A70"/>
    <w:rsid w:val="00C52AA3"/>
    <w:rsid w:val="00C546A4"/>
    <w:rsid w:val="00C54740"/>
    <w:rsid w:val="00C555D6"/>
    <w:rsid w:val="00C55A5F"/>
    <w:rsid w:val="00C57E89"/>
    <w:rsid w:val="00C607D5"/>
    <w:rsid w:val="00C612B0"/>
    <w:rsid w:val="00C61995"/>
    <w:rsid w:val="00C62A67"/>
    <w:rsid w:val="00C65901"/>
    <w:rsid w:val="00C6644E"/>
    <w:rsid w:val="00C71125"/>
    <w:rsid w:val="00C718E3"/>
    <w:rsid w:val="00C71DBE"/>
    <w:rsid w:val="00C7356A"/>
    <w:rsid w:val="00C73658"/>
    <w:rsid w:val="00C8287B"/>
    <w:rsid w:val="00C82984"/>
    <w:rsid w:val="00C83536"/>
    <w:rsid w:val="00C8359A"/>
    <w:rsid w:val="00C838EC"/>
    <w:rsid w:val="00C83D4E"/>
    <w:rsid w:val="00C8469B"/>
    <w:rsid w:val="00C84A88"/>
    <w:rsid w:val="00C84CED"/>
    <w:rsid w:val="00C85A7F"/>
    <w:rsid w:val="00C85D42"/>
    <w:rsid w:val="00C87343"/>
    <w:rsid w:val="00C876A3"/>
    <w:rsid w:val="00C87C3C"/>
    <w:rsid w:val="00C91618"/>
    <w:rsid w:val="00C91A55"/>
    <w:rsid w:val="00C91BC5"/>
    <w:rsid w:val="00C91F56"/>
    <w:rsid w:val="00C92FB9"/>
    <w:rsid w:val="00C933B2"/>
    <w:rsid w:val="00C93909"/>
    <w:rsid w:val="00C94FFB"/>
    <w:rsid w:val="00C96D3C"/>
    <w:rsid w:val="00C96D82"/>
    <w:rsid w:val="00C97511"/>
    <w:rsid w:val="00CA0717"/>
    <w:rsid w:val="00CA0945"/>
    <w:rsid w:val="00CA36B3"/>
    <w:rsid w:val="00CA4414"/>
    <w:rsid w:val="00CA5DBC"/>
    <w:rsid w:val="00CA7E21"/>
    <w:rsid w:val="00CB0D70"/>
    <w:rsid w:val="00CB25E8"/>
    <w:rsid w:val="00CB2646"/>
    <w:rsid w:val="00CB4092"/>
    <w:rsid w:val="00CB62C4"/>
    <w:rsid w:val="00CC4A4E"/>
    <w:rsid w:val="00CC5FD2"/>
    <w:rsid w:val="00CC5FF2"/>
    <w:rsid w:val="00CC644F"/>
    <w:rsid w:val="00CC678E"/>
    <w:rsid w:val="00CC71A0"/>
    <w:rsid w:val="00CD06B3"/>
    <w:rsid w:val="00CD1B76"/>
    <w:rsid w:val="00CD2249"/>
    <w:rsid w:val="00CD3469"/>
    <w:rsid w:val="00CD3B5C"/>
    <w:rsid w:val="00CD3E91"/>
    <w:rsid w:val="00CD424E"/>
    <w:rsid w:val="00CD43A1"/>
    <w:rsid w:val="00CD5509"/>
    <w:rsid w:val="00CD6F45"/>
    <w:rsid w:val="00CE218D"/>
    <w:rsid w:val="00CE2ABC"/>
    <w:rsid w:val="00CE2EF2"/>
    <w:rsid w:val="00CE3486"/>
    <w:rsid w:val="00CE3B3C"/>
    <w:rsid w:val="00CE4ED9"/>
    <w:rsid w:val="00CE5EDF"/>
    <w:rsid w:val="00CE6175"/>
    <w:rsid w:val="00CE648E"/>
    <w:rsid w:val="00CE6FE3"/>
    <w:rsid w:val="00CE7D59"/>
    <w:rsid w:val="00CF1A9D"/>
    <w:rsid w:val="00CF241C"/>
    <w:rsid w:val="00CF3779"/>
    <w:rsid w:val="00CF6B4A"/>
    <w:rsid w:val="00CF7748"/>
    <w:rsid w:val="00D019FE"/>
    <w:rsid w:val="00D03087"/>
    <w:rsid w:val="00D03155"/>
    <w:rsid w:val="00D0574D"/>
    <w:rsid w:val="00D06B79"/>
    <w:rsid w:val="00D1040A"/>
    <w:rsid w:val="00D13068"/>
    <w:rsid w:val="00D14A00"/>
    <w:rsid w:val="00D164EA"/>
    <w:rsid w:val="00D21490"/>
    <w:rsid w:val="00D21A2E"/>
    <w:rsid w:val="00D22B55"/>
    <w:rsid w:val="00D24192"/>
    <w:rsid w:val="00D2780E"/>
    <w:rsid w:val="00D30393"/>
    <w:rsid w:val="00D31326"/>
    <w:rsid w:val="00D31F79"/>
    <w:rsid w:val="00D31FD9"/>
    <w:rsid w:val="00D324C4"/>
    <w:rsid w:val="00D34DD6"/>
    <w:rsid w:val="00D355FE"/>
    <w:rsid w:val="00D36315"/>
    <w:rsid w:val="00D36A55"/>
    <w:rsid w:val="00D37A32"/>
    <w:rsid w:val="00D40035"/>
    <w:rsid w:val="00D41BA7"/>
    <w:rsid w:val="00D41CF3"/>
    <w:rsid w:val="00D42370"/>
    <w:rsid w:val="00D424CC"/>
    <w:rsid w:val="00D438BC"/>
    <w:rsid w:val="00D45F74"/>
    <w:rsid w:val="00D45FCB"/>
    <w:rsid w:val="00D4629D"/>
    <w:rsid w:val="00D4712F"/>
    <w:rsid w:val="00D51905"/>
    <w:rsid w:val="00D52F71"/>
    <w:rsid w:val="00D53046"/>
    <w:rsid w:val="00D54E95"/>
    <w:rsid w:val="00D5619A"/>
    <w:rsid w:val="00D62498"/>
    <w:rsid w:val="00D63C11"/>
    <w:rsid w:val="00D6498A"/>
    <w:rsid w:val="00D64A9D"/>
    <w:rsid w:val="00D651ED"/>
    <w:rsid w:val="00D6553D"/>
    <w:rsid w:val="00D67AC2"/>
    <w:rsid w:val="00D72800"/>
    <w:rsid w:val="00D73890"/>
    <w:rsid w:val="00D750F4"/>
    <w:rsid w:val="00D77BE2"/>
    <w:rsid w:val="00D802B6"/>
    <w:rsid w:val="00D80FBB"/>
    <w:rsid w:val="00D82B86"/>
    <w:rsid w:val="00D87CAE"/>
    <w:rsid w:val="00D91A73"/>
    <w:rsid w:val="00D92101"/>
    <w:rsid w:val="00D931B0"/>
    <w:rsid w:val="00D937C8"/>
    <w:rsid w:val="00D94AA7"/>
    <w:rsid w:val="00D96B55"/>
    <w:rsid w:val="00D96D34"/>
    <w:rsid w:val="00D97711"/>
    <w:rsid w:val="00D97B36"/>
    <w:rsid w:val="00DA0BF1"/>
    <w:rsid w:val="00DA0D8B"/>
    <w:rsid w:val="00DA1445"/>
    <w:rsid w:val="00DA5011"/>
    <w:rsid w:val="00DA6E34"/>
    <w:rsid w:val="00DB0239"/>
    <w:rsid w:val="00DB0950"/>
    <w:rsid w:val="00DB10FD"/>
    <w:rsid w:val="00DB1A0C"/>
    <w:rsid w:val="00DB252C"/>
    <w:rsid w:val="00DB2FCC"/>
    <w:rsid w:val="00DB30FE"/>
    <w:rsid w:val="00DB33C1"/>
    <w:rsid w:val="00DB4AC9"/>
    <w:rsid w:val="00DB54E2"/>
    <w:rsid w:val="00DB5C73"/>
    <w:rsid w:val="00DB5E95"/>
    <w:rsid w:val="00DB7DBB"/>
    <w:rsid w:val="00DC071E"/>
    <w:rsid w:val="00DC0A99"/>
    <w:rsid w:val="00DC19C0"/>
    <w:rsid w:val="00DC1E8F"/>
    <w:rsid w:val="00DC35C7"/>
    <w:rsid w:val="00DD0AEF"/>
    <w:rsid w:val="00DD150C"/>
    <w:rsid w:val="00DD2B60"/>
    <w:rsid w:val="00DD2CEA"/>
    <w:rsid w:val="00DD401B"/>
    <w:rsid w:val="00DD4186"/>
    <w:rsid w:val="00DD4713"/>
    <w:rsid w:val="00DD5971"/>
    <w:rsid w:val="00DE0CB6"/>
    <w:rsid w:val="00DE0D2E"/>
    <w:rsid w:val="00DE22E4"/>
    <w:rsid w:val="00DE36AA"/>
    <w:rsid w:val="00DE4DE6"/>
    <w:rsid w:val="00DE5F2A"/>
    <w:rsid w:val="00DE6AA8"/>
    <w:rsid w:val="00DE6E5B"/>
    <w:rsid w:val="00DE7BF4"/>
    <w:rsid w:val="00DF1340"/>
    <w:rsid w:val="00DF32E2"/>
    <w:rsid w:val="00DF3B3E"/>
    <w:rsid w:val="00E007BA"/>
    <w:rsid w:val="00E01A16"/>
    <w:rsid w:val="00E02420"/>
    <w:rsid w:val="00E03926"/>
    <w:rsid w:val="00E044B3"/>
    <w:rsid w:val="00E045C6"/>
    <w:rsid w:val="00E053F6"/>
    <w:rsid w:val="00E05674"/>
    <w:rsid w:val="00E06BDE"/>
    <w:rsid w:val="00E07BC2"/>
    <w:rsid w:val="00E102C0"/>
    <w:rsid w:val="00E12285"/>
    <w:rsid w:val="00E12439"/>
    <w:rsid w:val="00E12B94"/>
    <w:rsid w:val="00E13243"/>
    <w:rsid w:val="00E141AD"/>
    <w:rsid w:val="00E151E9"/>
    <w:rsid w:val="00E165EE"/>
    <w:rsid w:val="00E16A5B"/>
    <w:rsid w:val="00E17760"/>
    <w:rsid w:val="00E234D2"/>
    <w:rsid w:val="00E2662D"/>
    <w:rsid w:val="00E26786"/>
    <w:rsid w:val="00E26860"/>
    <w:rsid w:val="00E27193"/>
    <w:rsid w:val="00E31A35"/>
    <w:rsid w:val="00E31FA7"/>
    <w:rsid w:val="00E33C51"/>
    <w:rsid w:val="00E34594"/>
    <w:rsid w:val="00E35484"/>
    <w:rsid w:val="00E35679"/>
    <w:rsid w:val="00E36803"/>
    <w:rsid w:val="00E415A7"/>
    <w:rsid w:val="00E42DE8"/>
    <w:rsid w:val="00E4320E"/>
    <w:rsid w:val="00E432A1"/>
    <w:rsid w:val="00E441DE"/>
    <w:rsid w:val="00E51592"/>
    <w:rsid w:val="00E5164C"/>
    <w:rsid w:val="00E519E3"/>
    <w:rsid w:val="00E51CA2"/>
    <w:rsid w:val="00E529B9"/>
    <w:rsid w:val="00E54688"/>
    <w:rsid w:val="00E54D23"/>
    <w:rsid w:val="00E55E81"/>
    <w:rsid w:val="00E55EA7"/>
    <w:rsid w:val="00E57FA1"/>
    <w:rsid w:val="00E60F41"/>
    <w:rsid w:val="00E6137A"/>
    <w:rsid w:val="00E6160F"/>
    <w:rsid w:val="00E618FA"/>
    <w:rsid w:val="00E621D7"/>
    <w:rsid w:val="00E62D73"/>
    <w:rsid w:val="00E63042"/>
    <w:rsid w:val="00E63CBD"/>
    <w:rsid w:val="00E6420F"/>
    <w:rsid w:val="00E65399"/>
    <w:rsid w:val="00E65715"/>
    <w:rsid w:val="00E65722"/>
    <w:rsid w:val="00E65B6D"/>
    <w:rsid w:val="00E6699F"/>
    <w:rsid w:val="00E67863"/>
    <w:rsid w:val="00E7021B"/>
    <w:rsid w:val="00E70962"/>
    <w:rsid w:val="00E718EF"/>
    <w:rsid w:val="00E72FF7"/>
    <w:rsid w:val="00E7401F"/>
    <w:rsid w:val="00E74AE4"/>
    <w:rsid w:val="00E74D7F"/>
    <w:rsid w:val="00E76122"/>
    <w:rsid w:val="00E81EFA"/>
    <w:rsid w:val="00E85FB2"/>
    <w:rsid w:val="00E869C7"/>
    <w:rsid w:val="00E910F1"/>
    <w:rsid w:val="00E918DA"/>
    <w:rsid w:val="00E9264F"/>
    <w:rsid w:val="00E92BB6"/>
    <w:rsid w:val="00E93C2E"/>
    <w:rsid w:val="00E94E2B"/>
    <w:rsid w:val="00E94FD4"/>
    <w:rsid w:val="00E95E46"/>
    <w:rsid w:val="00EA1376"/>
    <w:rsid w:val="00EA13B4"/>
    <w:rsid w:val="00EA21B7"/>
    <w:rsid w:val="00EA6C0D"/>
    <w:rsid w:val="00EA6D04"/>
    <w:rsid w:val="00EA74A2"/>
    <w:rsid w:val="00EB10B9"/>
    <w:rsid w:val="00EB1122"/>
    <w:rsid w:val="00EB2329"/>
    <w:rsid w:val="00EB2D4F"/>
    <w:rsid w:val="00EB46E9"/>
    <w:rsid w:val="00EB5567"/>
    <w:rsid w:val="00EB5CE4"/>
    <w:rsid w:val="00EB5DB0"/>
    <w:rsid w:val="00EB6F13"/>
    <w:rsid w:val="00EB7777"/>
    <w:rsid w:val="00EC1D42"/>
    <w:rsid w:val="00EC28ED"/>
    <w:rsid w:val="00EC41F7"/>
    <w:rsid w:val="00EC53F4"/>
    <w:rsid w:val="00EC5411"/>
    <w:rsid w:val="00EC5D9E"/>
    <w:rsid w:val="00EC6A53"/>
    <w:rsid w:val="00EC7165"/>
    <w:rsid w:val="00EC7623"/>
    <w:rsid w:val="00EC782A"/>
    <w:rsid w:val="00ED06BC"/>
    <w:rsid w:val="00ED06F6"/>
    <w:rsid w:val="00ED1CF3"/>
    <w:rsid w:val="00ED1E53"/>
    <w:rsid w:val="00ED32A6"/>
    <w:rsid w:val="00ED38ED"/>
    <w:rsid w:val="00ED47FF"/>
    <w:rsid w:val="00ED4AE1"/>
    <w:rsid w:val="00ED5FA1"/>
    <w:rsid w:val="00ED7438"/>
    <w:rsid w:val="00ED773A"/>
    <w:rsid w:val="00EE0CA8"/>
    <w:rsid w:val="00EE1F6F"/>
    <w:rsid w:val="00EE3BD2"/>
    <w:rsid w:val="00EE3E90"/>
    <w:rsid w:val="00EE5096"/>
    <w:rsid w:val="00EE73ED"/>
    <w:rsid w:val="00EE77EA"/>
    <w:rsid w:val="00EF06F6"/>
    <w:rsid w:val="00EF0759"/>
    <w:rsid w:val="00EF0CA9"/>
    <w:rsid w:val="00EF0DEC"/>
    <w:rsid w:val="00EF2568"/>
    <w:rsid w:val="00EF315F"/>
    <w:rsid w:val="00EF34DA"/>
    <w:rsid w:val="00EF72DF"/>
    <w:rsid w:val="00F01218"/>
    <w:rsid w:val="00F0165D"/>
    <w:rsid w:val="00F016C7"/>
    <w:rsid w:val="00F01974"/>
    <w:rsid w:val="00F01E4C"/>
    <w:rsid w:val="00F04252"/>
    <w:rsid w:val="00F0622F"/>
    <w:rsid w:val="00F06C07"/>
    <w:rsid w:val="00F06D3A"/>
    <w:rsid w:val="00F11352"/>
    <w:rsid w:val="00F11677"/>
    <w:rsid w:val="00F12EE4"/>
    <w:rsid w:val="00F1428C"/>
    <w:rsid w:val="00F14B93"/>
    <w:rsid w:val="00F151B7"/>
    <w:rsid w:val="00F16D5C"/>
    <w:rsid w:val="00F17467"/>
    <w:rsid w:val="00F210F7"/>
    <w:rsid w:val="00F22ADF"/>
    <w:rsid w:val="00F232C1"/>
    <w:rsid w:val="00F23441"/>
    <w:rsid w:val="00F23793"/>
    <w:rsid w:val="00F26753"/>
    <w:rsid w:val="00F26A54"/>
    <w:rsid w:val="00F26D60"/>
    <w:rsid w:val="00F27031"/>
    <w:rsid w:val="00F2716D"/>
    <w:rsid w:val="00F27502"/>
    <w:rsid w:val="00F31509"/>
    <w:rsid w:val="00F330CF"/>
    <w:rsid w:val="00F33BC9"/>
    <w:rsid w:val="00F33E05"/>
    <w:rsid w:val="00F344B8"/>
    <w:rsid w:val="00F349CF"/>
    <w:rsid w:val="00F34F3C"/>
    <w:rsid w:val="00F353DA"/>
    <w:rsid w:val="00F35C1C"/>
    <w:rsid w:val="00F360CD"/>
    <w:rsid w:val="00F37461"/>
    <w:rsid w:val="00F37ED9"/>
    <w:rsid w:val="00F40257"/>
    <w:rsid w:val="00F4131C"/>
    <w:rsid w:val="00F4157A"/>
    <w:rsid w:val="00F416CC"/>
    <w:rsid w:val="00F41D7F"/>
    <w:rsid w:val="00F42005"/>
    <w:rsid w:val="00F43C3A"/>
    <w:rsid w:val="00F447FD"/>
    <w:rsid w:val="00F45263"/>
    <w:rsid w:val="00F45A84"/>
    <w:rsid w:val="00F502A0"/>
    <w:rsid w:val="00F509AB"/>
    <w:rsid w:val="00F50AC7"/>
    <w:rsid w:val="00F53DFA"/>
    <w:rsid w:val="00F5479F"/>
    <w:rsid w:val="00F54917"/>
    <w:rsid w:val="00F5544E"/>
    <w:rsid w:val="00F57452"/>
    <w:rsid w:val="00F6108B"/>
    <w:rsid w:val="00F6219B"/>
    <w:rsid w:val="00F62BA6"/>
    <w:rsid w:val="00F62E13"/>
    <w:rsid w:val="00F63DCD"/>
    <w:rsid w:val="00F64F1B"/>
    <w:rsid w:val="00F6573C"/>
    <w:rsid w:val="00F65B09"/>
    <w:rsid w:val="00F668BB"/>
    <w:rsid w:val="00F67C39"/>
    <w:rsid w:val="00F709B4"/>
    <w:rsid w:val="00F70B1A"/>
    <w:rsid w:val="00F718E5"/>
    <w:rsid w:val="00F73530"/>
    <w:rsid w:val="00F74BA4"/>
    <w:rsid w:val="00F74DCA"/>
    <w:rsid w:val="00F75451"/>
    <w:rsid w:val="00F76B91"/>
    <w:rsid w:val="00F76FD9"/>
    <w:rsid w:val="00F77BDE"/>
    <w:rsid w:val="00F8040D"/>
    <w:rsid w:val="00F80704"/>
    <w:rsid w:val="00F80F4C"/>
    <w:rsid w:val="00F81B96"/>
    <w:rsid w:val="00F82E5F"/>
    <w:rsid w:val="00F84562"/>
    <w:rsid w:val="00F85061"/>
    <w:rsid w:val="00F864AF"/>
    <w:rsid w:val="00F8673A"/>
    <w:rsid w:val="00F86F09"/>
    <w:rsid w:val="00F87209"/>
    <w:rsid w:val="00F874DE"/>
    <w:rsid w:val="00F93A18"/>
    <w:rsid w:val="00F93E16"/>
    <w:rsid w:val="00F94596"/>
    <w:rsid w:val="00F950C2"/>
    <w:rsid w:val="00FA0AB1"/>
    <w:rsid w:val="00FA0DF0"/>
    <w:rsid w:val="00FA2891"/>
    <w:rsid w:val="00FA4DEC"/>
    <w:rsid w:val="00FA4F0D"/>
    <w:rsid w:val="00FA50C2"/>
    <w:rsid w:val="00FA6987"/>
    <w:rsid w:val="00FA7A9D"/>
    <w:rsid w:val="00FB0753"/>
    <w:rsid w:val="00FB0994"/>
    <w:rsid w:val="00FB3C36"/>
    <w:rsid w:val="00FB3D0C"/>
    <w:rsid w:val="00FB42CF"/>
    <w:rsid w:val="00FB4394"/>
    <w:rsid w:val="00FB443B"/>
    <w:rsid w:val="00FB59C0"/>
    <w:rsid w:val="00FB7FEA"/>
    <w:rsid w:val="00FC3050"/>
    <w:rsid w:val="00FC3C61"/>
    <w:rsid w:val="00FC6A05"/>
    <w:rsid w:val="00FC6DB3"/>
    <w:rsid w:val="00FD12E0"/>
    <w:rsid w:val="00FD1430"/>
    <w:rsid w:val="00FD1B86"/>
    <w:rsid w:val="00FD24D3"/>
    <w:rsid w:val="00FD6F48"/>
    <w:rsid w:val="00FE1E97"/>
    <w:rsid w:val="00FE2A0C"/>
    <w:rsid w:val="00FE3A73"/>
    <w:rsid w:val="00FE5D27"/>
    <w:rsid w:val="00FE61E8"/>
    <w:rsid w:val="00FE6B1A"/>
    <w:rsid w:val="00FE72C2"/>
    <w:rsid w:val="00FE7405"/>
    <w:rsid w:val="00FE7881"/>
    <w:rsid w:val="00FF1C3D"/>
    <w:rsid w:val="00FF248A"/>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72A5D"/>
  <w15:chartTrackingRefBased/>
  <w15:docId w15:val="{A8645B46-AE6E-4B52-A1BF-5874443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C61"/>
    <w:pPr>
      <w:widowControl w:val="0"/>
      <w:tabs>
        <w:tab w:val="left" w:pos="7088"/>
      </w:tabs>
      <w:spacing w:after="120"/>
      <w:ind w:left="284"/>
    </w:pPr>
    <w:rPr>
      <w:rFonts w:ascii="Arial" w:hAnsi="Arial"/>
      <w:snapToGrid w:val="0"/>
      <w:sz w:val="22"/>
      <w:lang w:val="en-GB" w:eastAsia="sk-SK"/>
    </w:rPr>
  </w:style>
  <w:style w:type="paragraph" w:styleId="berschrift1">
    <w:name w:val="heading 1"/>
    <w:basedOn w:val="Standard"/>
    <w:next w:val="Standard"/>
    <w:qFormat/>
    <w:rsid w:val="005A60C2"/>
    <w:pPr>
      <w:numPr>
        <w:numId w:val="1"/>
      </w:numPr>
      <w:tabs>
        <w:tab w:val="clear" w:pos="7088"/>
        <w:tab w:val="left" w:pos="284"/>
      </w:tabs>
      <w:spacing w:before="240"/>
      <w:outlineLvl w:val="0"/>
    </w:pPr>
    <w:rPr>
      <w:b/>
      <w:bCs/>
      <w:sz w:val="24"/>
      <w:szCs w:val="24"/>
    </w:rPr>
  </w:style>
  <w:style w:type="paragraph" w:styleId="berschrift2">
    <w:name w:val="heading 2"/>
    <w:next w:val="Standard"/>
    <w:link w:val="berschrift2Zchn"/>
    <w:qFormat/>
    <w:rsid w:val="00A33C61"/>
    <w:pPr>
      <w:keepNext/>
      <w:numPr>
        <w:ilvl w:val="1"/>
        <w:numId w:val="1"/>
      </w:numPr>
      <w:spacing w:before="240" w:after="60"/>
      <w:outlineLvl w:val="1"/>
    </w:pPr>
    <w:rPr>
      <w:rFonts w:ascii="Arial" w:hAnsi="Arial"/>
      <w:bCs/>
      <w:snapToGrid w:val="0"/>
      <w:sz w:val="22"/>
      <w:szCs w:val="22"/>
      <w:lang w:val="en-GB" w:eastAsia="sk-SK"/>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keepNext/>
      <w:numPr>
        <w:ilvl w:val="6"/>
        <w:numId w:val="1"/>
      </w:numPr>
      <w:tabs>
        <w:tab w:val="left" w:pos="426"/>
      </w:tabs>
      <w:outlineLvl w:val="6"/>
    </w:pPr>
    <w:rPr>
      <w:sz w:val="24"/>
    </w:rPr>
  </w:style>
  <w:style w:type="paragraph" w:styleId="berschrift8">
    <w:name w:val="heading 8"/>
    <w:basedOn w:val="Standard"/>
    <w:next w:val="Standard"/>
    <w:qFormat/>
    <w:pPr>
      <w:keepNext/>
      <w:numPr>
        <w:ilvl w:val="7"/>
        <w:numId w:val="1"/>
      </w:numPr>
      <w:jc w:val="center"/>
      <w:outlineLvl w:val="7"/>
    </w:pPr>
    <w:rPr>
      <w:b/>
      <w:sz w:val="26"/>
    </w:rPr>
  </w:style>
  <w:style w:type="paragraph" w:styleId="berschrift9">
    <w:name w:val="heading 9"/>
    <w:basedOn w:val="Standard"/>
    <w:next w:val="Standard"/>
    <w:qFormat/>
    <w:pPr>
      <w:keepNext/>
      <w:numPr>
        <w:ilvl w:val="8"/>
        <w:numId w:val="1"/>
      </w:numPr>
      <w:jc w:val="center"/>
      <w:outlineLvl w:val="8"/>
    </w:pPr>
    <w:rPr>
      <w:color w:val="FF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4"/>
    </w:rPr>
  </w:style>
  <w:style w:type="paragraph" w:styleId="Fuzeile">
    <w:name w:val="footer"/>
    <w:basedOn w:val="Standard"/>
    <w:link w:val="FuzeileZchn"/>
    <w:uiPriority w:val="99"/>
    <w:pPr>
      <w:tabs>
        <w:tab w:val="center" w:pos="4536"/>
        <w:tab w:val="right" w:pos="9072"/>
      </w:tabs>
    </w:pPr>
    <w:rPr>
      <w:sz w:val="24"/>
    </w:rPr>
  </w:style>
  <w:style w:type="paragraph" w:styleId="Textkrper-Zeileneinzug">
    <w:name w:val="Body Text Indent"/>
    <w:basedOn w:val="Standard"/>
    <w:semiHidden/>
    <w:pPr>
      <w:jc w:val="both"/>
    </w:pPr>
    <w:rPr>
      <w:sz w:val="24"/>
    </w:rPr>
  </w:style>
  <w:style w:type="paragraph" w:styleId="Textkrper-Einzug2">
    <w:name w:val="Body Text Indent 2"/>
    <w:basedOn w:val="Standard"/>
    <w:semiHidden/>
    <w:pPr>
      <w:tabs>
        <w:tab w:val="left" w:pos="426"/>
      </w:tabs>
      <w:ind w:left="425" w:hanging="425"/>
      <w:jc w:val="both"/>
    </w:pPr>
    <w:rPr>
      <w:sz w:val="24"/>
    </w:rPr>
  </w:style>
  <w:style w:type="paragraph" w:styleId="Textkrper-Einzug3">
    <w:name w:val="Body Text Indent 3"/>
    <w:basedOn w:val="Standard"/>
    <w:semiHidden/>
    <w:pPr>
      <w:ind w:firstLine="426"/>
      <w:jc w:val="both"/>
    </w:pPr>
    <w:rPr>
      <w:sz w:val="24"/>
    </w:rPr>
  </w:style>
  <w:style w:type="paragraph" w:styleId="Textkrper">
    <w:name w:val="Body Text"/>
    <w:basedOn w:val="Standard"/>
    <w:semiHidden/>
    <w:pPr>
      <w:jc w:val="both"/>
    </w:pPr>
    <w:rPr>
      <w:sz w:val="24"/>
    </w:rPr>
  </w:style>
  <w:style w:type="paragraph" w:styleId="Textkrper2">
    <w:name w:val="Body Text 2"/>
    <w:basedOn w:val="Standard"/>
    <w:semiHidden/>
    <w:rPr>
      <w:sz w:val="24"/>
    </w:rPr>
  </w:style>
  <w:style w:type="character" w:styleId="Hyperlink">
    <w:name w:val="Hyperlink"/>
    <w:semiHidden/>
    <w:rPr>
      <w:color w:val="0000FF"/>
      <w:u w:val="single"/>
    </w:rPr>
  </w:style>
  <w:style w:type="paragraph" w:styleId="Textkrper3">
    <w:name w:val="Body Text 3"/>
    <w:basedOn w:val="Standard"/>
    <w:semiHidden/>
    <w:pPr>
      <w:tabs>
        <w:tab w:val="left" w:pos="567"/>
        <w:tab w:val="left" w:pos="709"/>
        <w:tab w:val="left" w:pos="7371"/>
      </w:tabs>
      <w:spacing w:line="360" w:lineRule="auto"/>
    </w:pPr>
  </w:style>
  <w:style w:type="paragraph" w:customStyle="1" w:styleId="txt11pt">
    <w:name w:val="txt11pt"/>
    <w:basedOn w:val="Standard"/>
    <w:pPr>
      <w:spacing w:before="100" w:beforeAutospacing="1" w:after="100" w:afterAutospacing="1"/>
    </w:pPr>
    <w:rPr>
      <w:rFonts w:ascii="Arial Unicode MS" w:eastAsia="Arial Unicode MS" w:hAnsi="Arial Unicode MS" w:cs="Arial Unicode MS"/>
      <w:sz w:val="24"/>
      <w:szCs w:val="24"/>
    </w:rPr>
  </w:style>
  <w:style w:type="paragraph" w:styleId="Dokumentstruktur">
    <w:name w:val="Document Map"/>
    <w:basedOn w:val="Standard"/>
    <w:semiHidden/>
    <w:pPr>
      <w:shd w:val="clear" w:color="auto" w:fill="000080"/>
    </w:pPr>
    <w:rPr>
      <w:rFonts w:ascii="Tahoma" w:hAnsi="Tahoma"/>
    </w:rPr>
  </w:style>
  <w:style w:type="character" w:styleId="BesuchterLink">
    <w:name w:val="FollowedHyperlink"/>
    <w:semiHidden/>
    <w:rPr>
      <w:color w:val="800080"/>
      <w:u w:val="single"/>
    </w:rPr>
  </w:style>
  <w:style w:type="paragraph" w:styleId="HTMLVorformatiert">
    <w:name w:val="HTML Preformatted"/>
    <w:basedOn w:val="Standard"/>
    <w:link w:val="HTMLVorformatiertZchn"/>
    <w:uiPriority w:val="99"/>
    <w:semiHidden/>
    <w:unhideWhenUsed/>
    <w:rsid w:val="0004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link w:val="HTMLVorformatiert"/>
    <w:uiPriority w:val="99"/>
    <w:semiHidden/>
    <w:rsid w:val="00047C5F"/>
    <w:rPr>
      <w:rFonts w:ascii="Courier New" w:hAnsi="Courier New" w:cs="Courier New"/>
    </w:rPr>
  </w:style>
  <w:style w:type="paragraph" w:styleId="Sprechblasentext">
    <w:name w:val="Balloon Text"/>
    <w:basedOn w:val="Standard"/>
    <w:link w:val="SprechblasentextZchn"/>
    <w:uiPriority w:val="99"/>
    <w:semiHidden/>
    <w:unhideWhenUsed/>
    <w:rsid w:val="005C48FB"/>
    <w:rPr>
      <w:rFonts w:ascii="Segoe UI" w:hAnsi="Segoe UI" w:cs="Segoe UI"/>
      <w:sz w:val="18"/>
      <w:szCs w:val="18"/>
    </w:rPr>
  </w:style>
  <w:style w:type="character" w:customStyle="1" w:styleId="SprechblasentextZchn">
    <w:name w:val="Sprechblasentext Zchn"/>
    <w:link w:val="Sprechblasentext"/>
    <w:uiPriority w:val="99"/>
    <w:semiHidden/>
    <w:rsid w:val="005C48FB"/>
    <w:rPr>
      <w:rFonts w:ascii="Segoe UI" w:hAnsi="Segoe UI" w:cs="Segoe UI"/>
      <w:sz w:val="18"/>
      <w:szCs w:val="18"/>
      <w:lang w:val="sk-SK" w:eastAsia="sk-SK"/>
    </w:rPr>
  </w:style>
  <w:style w:type="table" w:styleId="Tabellenraster">
    <w:name w:val="Table Grid"/>
    <w:basedOn w:val="NormaleTabelle"/>
    <w:uiPriority w:val="39"/>
    <w:rsid w:val="00CD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E12B94"/>
    <w:rPr>
      <w:sz w:val="16"/>
      <w:szCs w:val="16"/>
    </w:rPr>
  </w:style>
  <w:style w:type="paragraph" w:styleId="Kommentartext">
    <w:name w:val="annotation text"/>
    <w:basedOn w:val="Standard"/>
    <w:link w:val="KommentartextZchn"/>
    <w:uiPriority w:val="99"/>
    <w:semiHidden/>
    <w:unhideWhenUsed/>
    <w:rsid w:val="00E12B94"/>
    <w:rPr>
      <w:sz w:val="20"/>
    </w:rPr>
  </w:style>
  <w:style w:type="character" w:customStyle="1" w:styleId="KommentartextZchn">
    <w:name w:val="Kommentartext Zchn"/>
    <w:link w:val="Kommentartext"/>
    <w:uiPriority w:val="99"/>
    <w:semiHidden/>
    <w:rsid w:val="00E12B94"/>
    <w:rPr>
      <w:rFonts w:ascii="Arial" w:hAnsi="Arial"/>
      <w:snapToGrid w:val="0"/>
      <w:lang w:val="en-GB" w:eastAsia="sk-SK"/>
    </w:rPr>
  </w:style>
  <w:style w:type="paragraph" w:styleId="Kommentarthema">
    <w:name w:val="annotation subject"/>
    <w:basedOn w:val="Kommentartext"/>
    <w:next w:val="Kommentartext"/>
    <w:link w:val="KommentarthemaZchn"/>
    <w:uiPriority w:val="99"/>
    <w:semiHidden/>
    <w:unhideWhenUsed/>
    <w:rsid w:val="00E12B94"/>
    <w:rPr>
      <w:b/>
      <w:bCs/>
    </w:rPr>
  </w:style>
  <w:style w:type="character" w:customStyle="1" w:styleId="KommentarthemaZchn">
    <w:name w:val="Kommentarthema Zchn"/>
    <w:link w:val="Kommentarthema"/>
    <w:uiPriority w:val="99"/>
    <w:semiHidden/>
    <w:rsid w:val="00E12B94"/>
    <w:rPr>
      <w:rFonts w:ascii="Arial" w:hAnsi="Arial"/>
      <w:b/>
      <w:bCs/>
      <w:snapToGrid w:val="0"/>
      <w:lang w:val="en-GB" w:eastAsia="sk-SK"/>
    </w:rPr>
  </w:style>
  <w:style w:type="paragraph" w:styleId="StandardWeb">
    <w:name w:val="Normal (Web)"/>
    <w:basedOn w:val="Standard"/>
    <w:uiPriority w:val="99"/>
    <w:semiHidden/>
    <w:unhideWhenUsed/>
    <w:rsid w:val="00077526"/>
    <w:pPr>
      <w:widowControl/>
      <w:tabs>
        <w:tab w:val="clear" w:pos="7088"/>
      </w:tabs>
      <w:spacing w:before="100" w:beforeAutospacing="1" w:after="100" w:afterAutospacing="1"/>
      <w:ind w:left="0"/>
    </w:pPr>
    <w:rPr>
      <w:rFonts w:ascii="Times New Roman" w:hAnsi="Times New Roman"/>
      <w:snapToGrid/>
      <w:sz w:val="24"/>
      <w:szCs w:val="24"/>
      <w:lang w:val="en-US" w:eastAsia="en-US"/>
    </w:rPr>
  </w:style>
  <w:style w:type="paragraph" w:styleId="Kopfzeile">
    <w:name w:val="header"/>
    <w:basedOn w:val="Standard"/>
    <w:link w:val="KopfzeileZchn"/>
    <w:uiPriority w:val="99"/>
    <w:unhideWhenUsed/>
    <w:rsid w:val="007319FC"/>
    <w:pPr>
      <w:tabs>
        <w:tab w:val="clear" w:pos="7088"/>
        <w:tab w:val="center" w:pos="4536"/>
        <w:tab w:val="right" w:pos="9072"/>
      </w:tabs>
    </w:pPr>
  </w:style>
  <w:style w:type="character" w:customStyle="1" w:styleId="KopfzeileZchn">
    <w:name w:val="Kopfzeile Zchn"/>
    <w:link w:val="Kopfzeile"/>
    <w:uiPriority w:val="99"/>
    <w:rsid w:val="007319FC"/>
    <w:rPr>
      <w:rFonts w:ascii="Arial" w:hAnsi="Arial"/>
      <w:snapToGrid w:val="0"/>
      <w:sz w:val="22"/>
      <w:lang w:val="en-GB" w:eastAsia="sk-SK"/>
    </w:rPr>
  </w:style>
  <w:style w:type="character" w:customStyle="1" w:styleId="FuzeileZchn">
    <w:name w:val="Fußzeile Zchn"/>
    <w:link w:val="Fuzeile"/>
    <w:uiPriority w:val="99"/>
    <w:rsid w:val="007319FC"/>
    <w:rPr>
      <w:rFonts w:ascii="Arial" w:hAnsi="Arial"/>
      <w:snapToGrid w:val="0"/>
      <w:sz w:val="24"/>
      <w:lang w:val="en-GB" w:eastAsia="sk-SK"/>
    </w:rPr>
  </w:style>
  <w:style w:type="paragraph" w:styleId="Listenabsatz">
    <w:name w:val="List Paragraph"/>
    <w:basedOn w:val="Standard"/>
    <w:uiPriority w:val="34"/>
    <w:qFormat/>
    <w:rsid w:val="006306F2"/>
    <w:pPr>
      <w:ind w:left="720"/>
      <w:contextualSpacing/>
    </w:pPr>
  </w:style>
  <w:style w:type="character" w:customStyle="1" w:styleId="berschrift2Zchn">
    <w:name w:val="Überschrift 2 Zchn"/>
    <w:basedOn w:val="Absatz-Standardschriftart"/>
    <w:link w:val="berschrift2"/>
    <w:rsid w:val="00727EAF"/>
    <w:rPr>
      <w:rFonts w:ascii="Arial" w:hAnsi="Arial"/>
      <w:bCs/>
      <w:snapToGrid w:val="0"/>
      <w:sz w:val="22"/>
      <w:szCs w:val="22"/>
      <w:lang w:val="en-GB" w:eastAsia="sk-SK"/>
    </w:rPr>
  </w:style>
  <w:style w:type="paragraph" w:styleId="berarbeitung">
    <w:name w:val="Revision"/>
    <w:hidden/>
    <w:uiPriority w:val="99"/>
    <w:semiHidden/>
    <w:rsid w:val="00736683"/>
    <w:rPr>
      <w:rFonts w:ascii="Arial" w:hAnsi="Arial"/>
      <w:snapToGrid w:val="0"/>
      <w:sz w:val="22"/>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6426">
      <w:bodyDiv w:val="1"/>
      <w:marLeft w:val="0"/>
      <w:marRight w:val="0"/>
      <w:marTop w:val="0"/>
      <w:marBottom w:val="0"/>
      <w:divBdr>
        <w:top w:val="none" w:sz="0" w:space="0" w:color="auto"/>
        <w:left w:val="none" w:sz="0" w:space="0" w:color="auto"/>
        <w:bottom w:val="none" w:sz="0" w:space="0" w:color="auto"/>
        <w:right w:val="none" w:sz="0" w:space="0" w:color="auto"/>
      </w:divBdr>
    </w:div>
    <w:div w:id="128670909">
      <w:bodyDiv w:val="1"/>
      <w:marLeft w:val="0"/>
      <w:marRight w:val="0"/>
      <w:marTop w:val="0"/>
      <w:marBottom w:val="0"/>
      <w:divBdr>
        <w:top w:val="none" w:sz="0" w:space="0" w:color="auto"/>
        <w:left w:val="none" w:sz="0" w:space="0" w:color="auto"/>
        <w:bottom w:val="none" w:sz="0" w:space="0" w:color="auto"/>
        <w:right w:val="none" w:sz="0" w:space="0" w:color="auto"/>
      </w:divBdr>
      <w:divsChild>
        <w:div w:id="1349982512">
          <w:marLeft w:val="1282"/>
          <w:marRight w:val="0"/>
          <w:marTop w:val="0"/>
          <w:marBottom w:val="240"/>
          <w:divBdr>
            <w:top w:val="none" w:sz="0" w:space="0" w:color="auto"/>
            <w:left w:val="none" w:sz="0" w:space="0" w:color="auto"/>
            <w:bottom w:val="none" w:sz="0" w:space="0" w:color="auto"/>
            <w:right w:val="none" w:sz="0" w:space="0" w:color="auto"/>
          </w:divBdr>
        </w:div>
        <w:div w:id="1938783490">
          <w:marLeft w:val="1282"/>
          <w:marRight w:val="0"/>
          <w:marTop w:val="0"/>
          <w:marBottom w:val="240"/>
          <w:divBdr>
            <w:top w:val="none" w:sz="0" w:space="0" w:color="auto"/>
            <w:left w:val="none" w:sz="0" w:space="0" w:color="auto"/>
            <w:bottom w:val="none" w:sz="0" w:space="0" w:color="auto"/>
            <w:right w:val="none" w:sz="0" w:space="0" w:color="auto"/>
          </w:divBdr>
        </w:div>
        <w:div w:id="107508040">
          <w:marLeft w:val="1282"/>
          <w:marRight w:val="0"/>
          <w:marTop w:val="0"/>
          <w:marBottom w:val="240"/>
          <w:divBdr>
            <w:top w:val="none" w:sz="0" w:space="0" w:color="auto"/>
            <w:left w:val="none" w:sz="0" w:space="0" w:color="auto"/>
            <w:bottom w:val="none" w:sz="0" w:space="0" w:color="auto"/>
            <w:right w:val="none" w:sz="0" w:space="0" w:color="auto"/>
          </w:divBdr>
        </w:div>
        <w:div w:id="128406420">
          <w:marLeft w:val="1282"/>
          <w:marRight w:val="0"/>
          <w:marTop w:val="0"/>
          <w:marBottom w:val="240"/>
          <w:divBdr>
            <w:top w:val="none" w:sz="0" w:space="0" w:color="auto"/>
            <w:left w:val="none" w:sz="0" w:space="0" w:color="auto"/>
            <w:bottom w:val="none" w:sz="0" w:space="0" w:color="auto"/>
            <w:right w:val="none" w:sz="0" w:space="0" w:color="auto"/>
          </w:divBdr>
        </w:div>
      </w:divsChild>
    </w:div>
    <w:div w:id="180976495">
      <w:bodyDiv w:val="1"/>
      <w:marLeft w:val="0"/>
      <w:marRight w:val="0"/>
      <w:marTop w:val="0"/>
      <w:marBottom w:val="0"/>
      <w:divBdr>
        <w:top w:val="none" w:sz="0" w:space="0" w:color="auto"/>
        <w:left w:val="none" w:sz="0" w:space="0" w:color="auto"/>
        <w:bottom w:val="none" w:sz="0" w:space="0" w:color="auto"/>
        <w:right w:val="none" w:sz="0" w:space="0" w:color="auto"/>
      </w:divBdr>
    </w:div>
    <w:div w:id="237787855">
      <w:bodyDiv w:val="1"/>
      <w:marLeft w:val="0"/>
      <w:marRight w:val="0"/>
      <w:marTop w:val="0"/>
      <w:marBottom w:val="0"/>
      <w:divBdr>
        <w:top w:val="none" w:sz="0" w:space="0" w:color="auto"/>
        <w:left w:val="none" w:sz="0" w:space="0" w:color="auto"/>
        <w:bottom w:val="none" w:sz="0" w:space="0" w:color="auto"/>
        <w:right w:val="none" w:sz="0" w:space="0" w:color="auto"/>
      </w:divBdr>
    </w:div>
    <w:div w:id="271209716">
      <w:bodyDiv w:val="1"/>
      <w:marLeft w:val="0"/>
      <w:marRight w:val="0"/>
      <w:marTop w:val="0"/>
      <w:marBottom w:val="0"/>
      <w:divBdr>
        <w:top w:val="none" w:sz="0" w:space="0" w:color="auto"/>
        <w:left w:val="none" w:sz="0" w:space="0" w:color="auto"/>
        <w:bottom w:val="none" w:sz="0" w:space="0" w:color="auto"/>
        <w:right w:val="none" w:sz="0" w:space="0" w:color="auto"/>
      </w:divBdr>
    </w:div>
    <w:div w:id="272053998">
      <w:bodyDiv w:val="1"/>
      <w:marLeft w:val="0"/>
      <w:marRight w:val="0"/>
      <w:marTop w:val="0"/>
      <w:marBottom w:val="0"/>
      <w:divBdr>
        <w:top w:val="none" w:sz="0" w:space="0" w:color="auto"/>
        <w:left w:val="none" w:sz="0" w:space="0" w:color="auto"/>
        <w:bottom w:val="none" w:sz="0" w:space="0" w:color="auto"/>
        <w:right w:val="none" w:sz="0" w:space="0" w:color="auto"/>
      </w:divBdr>
    </w:div>
    <w:div w:id="291791415">
      <w:bodyDiv w:val="1"/>
      <w:marLeft w:val="0"/>
      <w:marRight w:val="0"/>
      <w:marTop w:val="0"/>
      <w:marBottom w:val="0"/>
      <w:divBdr>
        <w:top w:val="none" w:sz="0" w:space="0" w:color="auto"/>
        <w:left w:val="none" w:sz="0" w:space="0" w:color="auto"/>
        <w:bottom w:val="none" w:sz="0" w:space="0" w:color="auto"/>
        <w:right w:val="none" w:sz="0" w:space="0" w:color="auto"/>
      </w:divBdr>
    </w:div>
    <w:div w:id="298345177">
      <w:bodyDiv w:val="1"/>
      <w:marLeft w:val="0"/>
      <w:marRight w:val="0"/>
      <w:marTop w:val="0"/>
      <w:marBottom w:val="0"/>
      <w:divBdr>
        <w:top w:val="none" w:sz="0" w:space="0" w:color="auto"/>
        <w:left w:val="none" w:sz="0" w:space="0" w:color="auto"/>
        <w:bottom w:val="none" w:sz="0" w:space="0" w:color="auto"/>
        <w:right w:val="none" w:sz="0" w:space="0" w:color="auto"/>
      </w:divBdr>
    </w:div>
    <w:div w:id="359285852">
      <w:bodyDiv w:val="1"/>
      <w:marLeft w:val="0"/>
      <w:marRight w:val="0"/>
      <w:marTop w:val="0"/>
      <w:marBottom w:val="0"/>
      <w:divBdr>
        <w:top w:val="none" w:sz="0" w:space="0" w:color="auto"/>
        <w:left w:val="none" w:sz="0" w:space="0" w:color="auto"/>
        <w:bottom w:val="none" w:sz="0" w:space="0" w:color="auto"/>
        <w:right w:val="none" w:sz="0" w:space="0" w:color="auto"/>
      </w:divBdr>
    </w:div>
    <w:div w:id="364520126">
      <w:bodyDiv w:val="1"/>
      <w:marLeft w:val="0"/>
      <w:marRight w:val="0"/>
      <w:marTop w:val="0"/>
      <w:marBottom w:val="0"/>
      <w:divBdr>
        <w:top w:val="none" w:sz="0" w:space="0" w:color="auto"/>
        <w:left w:val="none" w:sz="0" w:space="0" w:color="auto"/>
        <w:bottom w:val="none" w:sz="0" w:space="0" w:color="auto"/>
        <w:right w:val="none" w:sz="0" w:space="0" w:color="auto"/>
      </w:divBdr>
    </w:div>
    <w:div w:id="487208134">
      <w:bodyDiv w:val="1"/>
      <w:marLeft w:val="0"/>
      <w:marRight w:val="0"/>
      <w:marTop w:val="0"/>
      <w:marBottom w:val="0"/>
      <w:divBdr>
        <w:top w:val="none" w:sz="0" w:space="0" w:color="auto"/>
        <w:left w:val="none" w:sz="0" w:space="0" w:color="auto"/>
        <w:bottom w:val="none" w:sz="0" w:space="0" w:color="auto"/>
        <w:right w:val="none" w:sz="0" w:space="0" w:color="auto"/>
      </w:divBdr>
    </w:div>
    <w:div w:id="536772083">
      <w:bodyDiv w:val="1"/>
      <w:marLeft w:val="0"/>
      <w:marRight w:val="0"/>
      <w:marTop w:val="0"/>
      <w:marBottom w:val="0"/>
      <w:divBdr>
        <w:top w:val="none" w:sz="0" w:space="0" w:color="auto"/>
        <w:left w:val="none" w:sz="0" w:space="0" w:color="auto"/>
        <w:bottom w:val="none" w:sz="0" w:space="0" w:color="auto"/>
        <w:right w:val="none" w:sz="0" w:space="0" w:color="auto"/>
      </w:divBdr>
    </w:div>
    <w:div w:id="555438750">
      <w:bodyDiv w:val="1"/>
      <w:marLeft w:val="0"/>
      <w:marRight w:val="0"/>
      <w:marTop w:val="0"/>
      <w:marBottom w:val="0"/>
      <w:divBdr>
        <w:top w:val="none" w:sz="0" w:space="0" w:color="auto"/>
        <w:left w:val="none" w:sz="0" w:space="0" w:color="auto"/>
        <w:bottom w:val="none" w:sz="0" w:space="0" w:color="auto"/>
        <w:right w:val="none" w:sz="0" w:space="0" w:color="auto"/>
      </w:divBdr>
    </w:div>
    <w:div w:id="619655457">
      <w:bodyDiv w:val="1"/>
      <w:marLeft w:val="0"/>
      <w:marRight w:val="0"/>
      <w:marTop w:val="0"/>
      <w:marBottom w:val="0"/>
      <w:divBdr>
        <w:top w:val="none" w:sz="0" w:space="0" w:color="auto"/>
        <w:left w:val="none" w:sz="0" w:space="0" w:color="auto"/>
        <w:bottom w:val="none" w:sz="0" w:space="0" w:color="auto"/>
        <w:right w:val="none" w:sz="0" w:space="0" w:color="auto"/>
      </w:divBdr>
    </w:div>
    <w:div w:id="700203171">
      <w:bodyDiv w:val="1"/>
      <w:marLeft w:val="0"/>
      <w:marRight w:val="0"/>
      <w:marTop w:val="0"/>
      <w:marBottom w:val="0"/>
      <w:divBdr>
        <w:top w:val="none" w:sz="0" w:space="0" w:color="auto"/>
        <w:left w:val="none" w:sz="0" w:space="0" w:color="auto"/>
        <w:bottom w:val="none" w:sz="0" w:space="0" w:color="auto"/>
        <w:right w:val="none" w:sz="0" w:space="0" w:color="auto"/>
      </w:divBdr>
    </w:div>
    <w:div w:id="705175958">
      <w:bodyDiv w:val="1"/>
      <w:marLeft w:val="0"/>
      <w:marRight w:val="0"/>
      <w:marTop w:val="0"/>
      <w:marBottom w:val="0"/>
      <w:divBdr>
        <w:top w:val="none" w:sz="0" w:space="0" w:color="auto"/>
        <w:left w:val="none" w:sz="0" w:space="0" w:color="auto"/>
        <w:bottom w:val="none" w:sz="0" w:space="0" w:color="auto"/>
        <w:right w:val="none" w:sz="0" w:space="0" w:color="auto"/>
      </w:divBdr>
    </w:div>
    <w:div w:id="752049251">
      <w:bodyDiv w:val="1"/>
      <w:marLeft w:val="0"/>
      <w:marRight w:val="0"/>
      <w:marTop w:val="0"/>
      <w:marBottom w:val="0"/>
      <w:divBdr>
        <w:top w:val="none" w:sz="0" w:space="0" w:color="auto"/>
        <w:left w:val="none" w:sz="0" w:space="0" w:color="auto"/>
        <w:bottom w:val="none" w:sz="0" w:space="0" w:color="auto"/>
        <w:right w:val="none" w:sz="0" w:space="0" w:color="auto"/>
      </w:divBdr>
    </w:div>
    <w:div w:id="776405710">
      <w:bodyDiv w:val="1"/>
      <w:marLeft w:val="0"/>
      <w:marRight w:val="0"/>
      <w:marTop w:val="0"/>
      <w:marBottom w:val="0"/>
      <w:divBdr>
        <w:top w:val="none" w:sz="0" w:space="0" w:color="auto"/>
        <w:left w:val="none" w:sz="0" w:space="0" w:color="auto"/>
        <w:bottom w:val="none" w:sz="0" w:space="0" w:color="auto"/>
        <w:right w:val="none" w:sz="0" w:space="0" w:color="auto"/>
      </w:divBdr>
    </w:div>
    <w:div w:id="902451173">
      <w:bodyDiv w:val="1"/>
      <w:marLeft w:val="0"/>
      <w:marRight w:val="0"/>
      <w:marTop w:val="0"/>
      <w:marBottom w:val="0"/>
      <w:divBdr>
        <w:top w:val="none" w:sz="0" w:space="0" w:color="auto"/>
        <w:left w:val="none" w:sz="0" w:space="0" w:color="auto"/>
        <w:bottom w:val="none" w:sz="0" w:space="0" w:color="auto"/>
        <w:right w:val="none" w:sz="0" w:space="0" w:color="auto"/>
      </w:divBdr>
    </w:div>
    <w:div w:id="974725985">
      <w:bodyDiv w:val="1"/>
      <w:marLeft w:val="0"/>
      <w:marRight w:val="0"/>
      <w:marTop w:val="0"/>
      <w:marBottom w:val="0"/>
      <w:divBdr>
        <w:top w:val="none" w:sz="0" w:space="0" w:color="auto"/>
        <w:left w:val="none" w:sz="0" w:space="0" w:color="auto"/>
        <w:bottom w:val="none" w:sz="0" w:space="0" w:color="auto"/>
        <w:right w:val="none" w:sz="0" w:space="0" w:color="auto"/>
      </w:divBdr>
    </w:div>
    <w:div w:id="1082020449">
      <w:bodyDiv w:val="1"/>
      <w:marLeft w:val="0"/>
      <w:marRight w:val="0"/>
      <w:marTop w:val="0"/>
      <w:marBottom w:val="0"/>
      <w:divBdr>
        <w:top w:val="none" w:sz="0" w:space="0" w:color="auto"/>
        <w:left w:val="none" w:sz="0" w:space="0" w:color="auto"/>
        <w:bottom w:val="none" w:sz="0" w:space="0" w:color="auto"/>
        <w:right w:val="none" w:sz="0" w:space="0" w:color="auto"/>
      </w:divBdr>
    </w:div>
    <w:div w:id="1123188308">
      <w:bodyDiv w:val="1"/>
      <w:marLeft w:val="0"/>
      <w:marRight w:val="0"/>
      <w:marTop w:val="0"/>
      <w:marBottom w:val="0"/>
      <w:divBdr>
        <w:top w:val="none" w:sz="0" w:space="0" w:color="auto"/>
        <w:left w:val="none" w:sz="0" w:space="0" w:color="auto"/>
        <w:bottom w:val="none" w:sz="0" w:space="0" w:color="auto"/>
        <w:right w:val="none" w:sz="0" w:space="0" w:color="auto"/>
      </w:divBdr>
    </w:div>
    <w:div w:id="1310210183">
      <w:bodyDiv w:val="1"/>
      <w:marLeft w:val="0"/>
      <w:marRight w:val="0"/>
      <w:marTop w:val="0"/>
      <w:marBottom w:val="0"/>
      <w:divBdr>
        <w:top w:val="none" w:sz="0" w:space="0" w:color="auto"/>
        <w:left w:val="none" w:sz="0" w:space="0" w:color="auto"/>
        <w:bottom w:val="none" w:sz="0" w:space="0" w:color="auto"/>
        <w:right w:val="none" w:sz="0" w:space="0" w:color="auto"/>
      </w:divBdr>
    </w:div>
    <w:div w:id="1396200946">
      <w:bodyDiv w:val="1"/>
      <w:marLeft w:val="0"/>
      <w:marRight w:val="0"/>
      <w:marTop w:val="0"/>
      <w:marBottom w:val="0"/>
      <w:divBdr>
        <w:top w:val="none" w:sz="0" w:space="0" w:color="auto"/>
        <w:left w:val="none" w:sz="0" w:space="0" w:color="auto"/>
        <w:bottom w:val="none" w:sz="0" w:space="0" w:color="auto"/>
        <w:right w:val="none" w:sz="0" w:space="0" w:color="auto"/>
      </w:divBdr>
    </w:div>
    <w:div w:id="1532497665">
      <w:bodyDiv w:val="1"/>
      <w:marLeft w:val="0"/>
      <w:marRight w:val="0"/>
      <w:marTop w:val="0"/>
      <w:marBottom w:val="0"/>
      <w:divBdr>
        <w:top w:val="none" w:sz="0" w:space="0" w:color="auto"/>
        <w:left w:val="none" w:sz="0" w:space="0" w:color="auto"/>
        <w:bottom w:val="none" w:sz="0" w:space="0" w:color="auto"/>
        <w:right w:val="none" w:sz="0" w:space="0" w:color="auto"/>
      </w:divBdr>
    </w:div>
    <w:div w:id="1578440541">
      <w:bodyDiv w:val="1"/>
      <w:marLeft w:val="0"/>
      <w:marRight w:val="0"/>
      <w:marTop w:val="0"/>
      <w:marBottom w:val="0"/>
      <w:divBdr>
        <w:top w:val="none" w:sz="0" w:space="0" w:color="auto"/>
        <w:left w:val="none" w:sz="0" w:space="0" w:color="auto"/>
        <w:bottom w:val="none" w:sz="0" w:space="0" w:color="auto"/>
        <w:right w:val="none" w:sz="0" w:space="0" w:color="auto"/>
      </w:divBdr>
    </w:div>
    <w:div w:id="1601715066">
      <w:bodyDiv w:val="1"/>
      <w:marLeft w:val="0"/>
      <w:marRight w:val="0"/>
      <w:marTop w:val="0"/>
      <w:marBottom w:val="0"/>
      <w:divBdr>
        <w:top w:val="none" w:sz="0" w:space="0" w:color="auto"/>
        <w:left w:val="none" w:sz="0" w:space="0" w:color="auto"/>
        <w:bottom w:val="none" w:sz="0" w:space="0" w:color="auto"/>
        <w:right w:val="none" w:sz="0" w:space="0" w:color="auto"/>
      </w:divBdr>
    </w:div>
    <w:div w:id="1848978729">
      <w:bodyDiv w:val="1"/>
      <w:marLeft w:val="0"/>
      <w:marRight w:val="0"/>
      <w:marTop w:val="0"/>
      <w:marBottom w:val="0"/>
      <w:divBdr>
        <w:top w:val="none" w:sz="0" w:space="0" w:color="auto"/>
        <w:left w:val="none" w:sz="0" w:space="0" w:color="auto"/>
        <w:bottom w:val="none" w:sz="0" w:space="0" w:color="auto"/>
        <w:right w:val="none" w:sz="0" w:space="0" w:color="auto"/>
      </w:divBdr>
    </w:div>
    <w:div w:id="1916431098">
      <w:bodyDiv w:val="1"/>
      <w:marLeft w:val="0"/>
      <w:marRight w:val="0"/>
      <w:marTop w:val="0"/>
      <w:marBottom w:val="0"/>
      <w:divBdr>
        <w:top w:val="none" w:sz="0" w:space="0" w:color="auto"/>
        <w:left w:val="none" w:sz="0" w:space="0" w:color="auto"/>
        <w:bottom w:val="none" w:sz="0" w:space="0" w:color="auto"/>
        <w:right w:val="none" w:sz="0" w:space="0" w:color="auto"/>
      </w:divBdr>
    </w:div>
    <w:div w:id="19748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ptbde-my.sharepoint.com/personal/steffen_seitz_ptb_de/Documents/Documents/EAWG%20documents/Meetings/EAWG%20summary%20of%20meetings%20and%20compariso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No of coordinated comparisons</a:t>
            </a:r>
          </a:p>
          <a:p>
            <a:pPr>
              <a:defRPr sz="1600"/>
            </a:pPr>
            <a:r>
              <a:rPr lang="en-US" sz="1600"/>
              <a:t> by technical area</a:t>
            </a:r>
          </a:p>
        </c:rich>
      </c:tx>
      <c:layout>
        <c:manualLayout>
          <c:xMode val="edge"/>
          <c:yMode val="edge"/>
          <c:x val="0.17437502130415516"/>
          <c:y val="3.6253776435045321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010312743604594"/>
          <c:y val="0.23314825828040378"/>
          <c:w val="0.82010817249426937"/>
          <c:h val="0.60113041051564386"/>
        </c:manualLayout>
      </c:layout>
      <c:barChart>
        <c:barDir val="col"/>
        <c:grouping val="clustered"/>
        <c:varyColors val="0"/>
        <c:ser>
          <c:idx val="0"/>
          <c:order val="0"/>
          <c:tx>
            <c:v>KC&amp;SC</c:v>
          </c:tx>
          <c:spPr>
            <a:solidFill>
              <a:schemeClr val="accent1"/>
            </a:solidFill>
            <a:ln>
              <a:noFill/>
            </a:ln>
            <a:effectLst/>
          </c:spPr>
          <c:invertIfNegative val="0"/>
          <c:cat>
            <c:strRef>
              <c:f>'comparison summary'!$U$4:$U$6</c:f>
              <c:strCache>
                <c:ptCount val="3"/>
                <c:pt idx="0">
                  <c:v>pH</c:v>
                </c:pt>
                <c:pt idx="1">
                  <c:v>Coulo</c:v>
                </c:pt>
                <c:pt idx="2">
                  <c:v>EC</c:v>
                </c:pt>
              </c:strCache>
            </c:strRef>
          </c:cat>
          <c:val>
            <c:numRef>
              <c:f>'comparison summary'!$V$4:$V$6</c:f>
              <c:numCache>
                <c:formatCode>General</c:formatCode>
                <c:ptCount val="3"/>
                <c:pt idx="0">
                  <c:v>25</c:v>
                </c:pt>
                <c:pt idx="1">
                  <c:v>22</c:v>
                </c:pt>
                <c:pt idx="2">
                  <c:v>11</c:v>
                </c:pt>
              </c:numCache>
            </c:numRef>
          </c:val>
          <c:extLst>
            <c:ext xmlns:c16="http://schemas.microsoft.com/office/drawing/2014/chart" uri="{C3380CC4-5D6E-409C-BE32-E72D297353CC}">
              <c16:uniqueId val="{00000000-3214-4A98-9160-B69D2900946F}"/>
            </c:ext>
          </c:extLst>
        </c:ser>
        <c:ser>
          <c:idx val="1"/>
          <c:order val="1"/>
          <c:tx>
            <c:v>PS</c:v>
          </c:tx>
          <c:spPr>
            <a:solidFill>
              <a:schemeClr val="accent2"/>
            </a:solidFill>
            <a:ln>
              <a:noFill/>
            </a:ln>
            <a:effectLst/>
          </c:spPr>
          <c:invertIfNegative val="0"/>
          <c:val>
            <c:numRef>
              <c:f>'comparison summary'!$W$4:$W$6</c:f>
              <c:numCache>
                <c:formatCode>General</c:formatCode>
                <c:ptCount val="3"/>
                <c:pt idx="0">
                  <c:v>8</c:v>
                </c:pt>
                <c:pt idx="1">
                  <c:v>7</c:v>
                </c:pt>
                <c:pt idx="2">
                  <c:v>8</c:v>
                </c:pt>
              </c:numCache>
            </c:numRef>
          </c:val>
          <c:extLst>
            <c:ext xmlns:c16="http://schemas.microsoft.com/office/drawing/2014/chart" uri="{C3380CC4-5D6E-409C-BE32-E72D297353CC}">
              <c16:uniqueId val="{00000001-3214-4A98-9160-B69D2900946F}"/>
            </c:ext>
          </c:extLst>
        </c:ser>
        <c:dLbls>
          <c:showLegendKey val="0"/>
          <c:showVal val="0"/>
          <c:showCatName val="0"/>
          <c:showSerName val="0"/>
          <c:showPercent val="0"/>
          <c:showBubbleSize val="0"/>
        </c:dLbls>
        <c:gapWidth val="219"/>
        <c:overlap val="-27"/>
        <c:axId val="579164328"/>
        <c:axId val="579163344"/>
      </c:barChart>
      <c:catAx>
        <c:axId val="57916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79163344"/>
        <c:crosses val="autoZero"/>
        <c:auto val="1"/>
        <c:lblAlgn val="ctr"/>
        <c:lblOffset val="100"/>
        <c:noMultiLvlLbl val="0"/>
      </c:catAx>
      <c:valAx>
        <c:axId val="579163344"/>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579164328"/>
        <c:crosses val="autoZero"/>
        <c:crossBetween val="between"/>
      </c:valAx>
      <c:spPr>
        <a:noFill/>
        <a:ln>
          <a:solidFill>
            <a:schemeClr val="tx1"/>
          </a:solidFill>
        </a:ln>
        <a:effectLst/>
      </c:spPr>
    </c:plotArea>
    <c:legend>
      <c:legendPos val="r"/>
      <c:layout>
        <c:manualLayout>
          <c:xMode val="edge"/>
          <c:yMode val="edge"/>
          <c:x val="0.80454852234379792"/>
          <c:y val="0.24684730118704948"/>
          <c:w val="0.14004022224494664"/>
          <c:h val="0.135952613174108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0.19171</cdr:x>
      <cdr:y>0.24943</cdr:y>
    </cdr:from>
    <cdr:to>
      <cdr:x>0.3008</cdr:x>
      <cdr:y>0.33058</cdr:y>
    </cdr:to>
    <cdr:sp macro="" textlink="">
      <cdr:nvSpPr>
        <cdr:cNvPr id="2" name="Textfeld 1">
          <a:extLst xmlns:a="http://schemas.openxmlformats.org/drawingml/2006/main">
            <a:ext uri="{FF2B5EF4-FFF2-40B4-BE49-F238E27FC236}">
              <a16:creationId xmlns:a16="http://schemas.microsoft.com/office/drawing/2014/main" id="{1B726D13-26A3-87AB-A369-40F53CA470A8}"/>
            </a:ext>
          </a:extLst>
        </cdr:cNvPr>
        <cdr:cNvSpPr txBox="1"/>
      </cdr:nvSpPr>
      <cdr:spPr>
        <a:xfrm xmlns:a="http://schemas.openxmlformats.org/drawingml/2006/main">
          <a:off x="669287" y="706096"/>
          <a:ext cx="380858" cy="2297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a:t>25</a:t>
          </a:r>
        </a:p>
      </cdr:txBody>
    </cdr:sp>
  </cdr:relSizeAnchor>
  <cdr:relSizeAnchor xmlns:cdr="http://schemas.openxmlformats.org/drawingml/2006/chartDrawing">
    <cdr:from>
      <cdr:x>0.81905</cdr:x>
      <cdr:y>0.65794</cdr:y>
    </cdr:from>
    <cdr:to>
      <cdr:x>0.92814</cdr:x>
      <cdr:y>0.73909</cdr:y>
    </cdr:to>
    <cdr:sp macro="" textlink="">
      <cdr:nvSpPr>
        <cdr:cNvPr id="3" name="Textfeld 1">
          <a:extLst xmlns:a="http://schemas.openxmlformats.org/drawingml/2006/main">
            <a:ext uri="{FF2B5EF4-FFF2-40B4-BE49-F238E27FC236}">
              <a16:creationId xmlns:a16="http://schemas.microsoft.com/office/drawing/2014/main" id="{F428E104-CFF4-9758-847B-D247EF99C30F}"/>
            </a:ext>
          </a:extLst>
        </cdr:cNvPr>
        <cdr:cNvSpPr txBox="1"/>
      </cdr:nvSpPr>
      <cdr:spPr>
        <a:xfrm xmlns:a="http://schemas.openxmlformats.org/drawingml/2006/main">
          <a:off x="3003550" y="2393950"/>
          <a:ext cx="4000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8</a:t>
          </a:r>
        </a:p>
      </cdr:txBody>
    </cdr:sp>
  </cdr:relSizeAnchor>
  <cdr:relSizeAnchor xmlns:cdr="http://schemas.openxmlformats.org/drawingml/2006/chartDrawing">
    <cdr:from>
      <cdr:x>0.55411</cdr:x>
      <cdr:y>0.67365</cdr:y>
    </cdr:from>
    <cdr:to>
      <cdr:x>0.6632</cdr:x>
      <cdr:y>0.7548</cdr:y>
    </cdr:to>
    <cdr:sp macro="" textlink="">
      <cdr:nvSpPr>
        <cdr:cNvPr id="4" name="Textfeld 1">
          <a:extLst xmlns:a="http://schemas.openxmlformats.org/drawingml/2006/main">
            <a:ext uri="{FF2B5EF4-FFF2-40B4-BE49-F238E27FC236}">
              <a16:creationId xmlns:a16="http://schemas.microsoft.com/office/drawing/2014/main" id="{F428E104-CFF4-9758-847B-D247EF99C30F}"/>
            </a:ext>
          </a:extLst>
        </cdr:cNvPr>
        <cdr:cNvSpPr txBox="1"/>
      </cdr:nvSpPr>
      <cdr:spPr>
        <a:xfrm xmlns:a="http://schemas.openxmlformats.org/drawingml/2006/main">
          <a:off x="2032000" y="2451100"/>
          <a:ext cx="4000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7</a:t>
          </a:r>
        </a:p>
      </cdr:txBody>
    </cdr:sp>
  </cdr:relSizeAnchor>
  <cdr:relSizeAnchor xmlns:cdr="http://schemas.openxmlformats.org/drawingml/2006/chartDrawing">
    <cdr:from>
      <cdr:x>0.27879</cdr:x>
      <cdr:y>0.65532</cdr:y>
    </cdr:from>
    <cdr:to>
      <cdr:x>0.38788</cdr:x>
      <cdr:y>0.73647</cdr:y>
    </cdr:to>
    <cdr:sp macro="" textlink="">
      <cdr:nvSpPr>
        <cdr:cNvPr id="5" name="Textfeld 1">
          <a:extLst xmlns:a="http://schemas.openxmlformats.org/drawingml/2006/main">
            <a:ext uri="{FF2B5EF4-FFF2-40B4-BE49-F238E27FC236}">
              <a16:creationId xmlns:a16="http://schemas.microsoft.com/office/drawing/2014/main" id="{F428E104-CFF4-9758-847B-D247EF99C30F}"/>
            </a:ext>
          </a:extLst>
        </cdr:cNvPr>
        <cdr:cNvSpPr txBox="1"/>
      </cdr:nvSpPr>
      <cdr:spPr>
        <a:xfrm xmlns:a="http://schemas.openxmlformats.org/drawingml/2006/main">
          <a:off x="1022350" y="2384425"/>
          <a:ext cx="400050" cy="2952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8</a:t>
          </a:r>
        </a:p>
      </cdr:txBody>
    </cdr:sp>
  </cdr:relSizeAnchor>
  <cdr:relSizeAnchor xmlns:cdr="http://schemas.openxmlformats.org/drawingml/2006/chartDrawing">
    <cdr:from>
      <cdr:x>0.73694</cdr:x>
      <cdr:y>0.52773</cdr:y>
    </cdr:from>
    <cdr:to>
      <cdr:x>0.84603</cdr:x>
      <cdr:y>0.60888</cdr:y>
    </cdr:to>
    <cdr:sp macro="" textlink="">
      <cdr:nvSpPr>
        <cdr:cNvPr id="6" name="Textfeld 1">
          <a:extLst xmlns:a="http://schemas.openxmlformats.org/drawingml/2006/main">
            <a:ext uri="{FF2B5EF4-FFF2-40B4-BE49-F238E27FC236}">
              <a16:creationId xmlns:a16="http://schemas.microsoft.com/office/drawing/2014/main" id="{F428E104-CFF4-9758-847B-D247EF99C30F}"/>
            </a:ext>
          </a:extLst>
        </cdr:cNvPr>
        <cdr:cNvSpPr txBox="1"/>
      </cdr:nvSpPr>
      <cdr:spPr>
        <a:xfrm xmlns:a="http://schemas.openxmlformats.org/drawingml/2006/main">
          <a:off x="2572825" y="1493907"/>
          <a:ext cx="380859" cy="2297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11</a:t>
          </a:r>
        </a:p>
      </cdr:txBody>
    </cdr:sp>
  </cdr:relSizeAnchor>
  <cdr:relSizeAnchor xmlns:cdr="http://schemas.openxmlformats.org/drawingml/2006/chartDrawing">
    <cdr:from>
      <cdr:x>0.4653</cdr:x>
      <cdr:y>0.30691</cdr:y>
    </cdr:from>
    <cdr:to>
      <cdr:x>0.57439</cdr:x>
      <cdr:y>0.38807</cdr:y>
    </cdr:to>
    <cdr:sp macro="" textlink="">
      <cdr:nvSpPr>
        <cdr:cNvPr id="7" name="Textfeld 1">
          <a:extLst xmlns:a="http://schemas.openxmlformats.org/drawingml/2006/main">
            <a:ext uri="{FF2B5EF4-FFF2-40B4-BE49-F238E27FC236}">
              <a16:creationId xmlns:a16="http://schemas.microsoft.com/office/drawing/2014/main" id="{F428E104-CFF4-9758-847B-D247EF99C30F}"/>
            </a:ext>
          </a:extLst>
        </cdr:cNvPr>
        <cdr:cNvSpPr txBox="1"/>
      </cdr:nvSpPr>
      <cdr:spPr>
        <a:xfrm xmlns:a="http://schemas.openxmlformats.org/drawingml/2006/main">
          <a:off x="1624454" y="868824"/>
          <a:ext cx="380858" cy="22975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t>22</a:t>
          </a:r>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E0C7-50A7-4C47-9C50-B209A88D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3621</Words>
  <Characters>20644</Characters>
  <Application>Microsoft Office Word</Application>
  <DocSecurity>0</DocSecurity>
  <Lines>172</Lines>
  <Paragraphs>48</Paragraphs>
  <ScaleCrop>false</ScaleCrop>
  <HeadingPairs>
    <vt:vector size="8" baseType="variant">
      <vt:variant>
        <vt:lpstr>Titel</vt:lpstr>
      </vt:variant>
      <vt:variant>
        <vt:i4>1</vt:i4>
      </vt:variant>
      <vt:variant>
        <vt:lpstr>Название</vt:lpstr>
      </vt:variant>
      <vt:variant>
        <vt:i4>1</vt:i4>
      </vt:variant>
      <vt:variant>
        <vt:lpstr>Názov</vt:lpstr>
      </vt:variant>
      <vt:variant>
        <vt:i4>1</vt:i4>
      </vt:variant>
      <vt:variant>
        <vt:lpstr>Title</vt:lpstr>
      </vt:variant>
      <vt:variant>
        <vt:i4>1</vt:i4>
      </vt:variant>
    </vt:vector>
  </HeadingPairs>
  <TitlesOfParts>
    <vt:vector size="4" baseType="lpstr">
      <vt:lpstr>Report</vt:lpstr>
      <vt:lpstr>Report</vt:lpstr>
      <vt:lpstr>Report</vt:lpstr>
      <vt:lpstr>Report</vt:lpstr>
    </vt:vector>
  </TitlesOfParts>
  <Company>SMU</Company>
  <LinksUpToDate>false</LinksUpToDate>
  <CharactersWithSpaces>24217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MARIASSY</dc:creator>
  <cp:keywords/>
  <cp:lastModifiedBy>Steffen Seitz</cp:lastModifiedBy>
  <cp:revision>561</cp:revision>
  <dcterms:created xsi:type="dcterms:W3CDTF">2023-10-10T12:53:00Z</dcterms:created>
  <dcterms:modified xsi:type="dcterms:W3CDTF">2025-03-24T08:38:00Z</dcterms:modified>
</cp:coreProperties>
</file>