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F62E" w14:textId="77777777" w:rsidR="00DA0027" w:rsidRDefault="00DA0027" w:rsidP="00DA0027">
      <w:pPr>
        <w:jc w:val="right"/>
        <w:rPr>
          <w:b/>
          <w:u w:val="single"/>
        </w:rPr>
      </w:pPr>
    </w:p>
    <w:p w14:paraId="2FBE39C6" w14:textId="77777777" w:rsidR="00DA0027" w:rsidRDefault="00DA0027" w:rsidP="00DA0027">
      <w:pPr>
        <w:jc w:val="right"/>
        <w:rPr>
          <w:b/>
          <w:u w:val="single"/>
        </w:rPr>
      </w:pPr>
      <w:r>
        <w:rPr>
          <w:b/>
          <w:noProof/>
          <w:u w:val="single"/>
        </w:rPr>
        <w:drawing>
          <wp:anchor distT="0" distB="0" distL="114300" distR="114300" simplePos="0" relativeHeight="251658240" behindDoc="0" locked="0" layoutInCell="1" allowOverlap="1" wp14:anchorId="41DEDD89" wp14:editId="1DE59AA7">
            <wp:simplePos x="0" y="0"/>
            <wp:positionH relativeFrom="column">
              <wp:posOffset>6276975</wp:posOffset>
            </wp:positionH>
            <wp:positionV relativeFrom="paragraph">
              <wp:posOffset>8890</wp:posOffset>
            </wp:positionV>
            <wp:extent cx="1920240" cy="499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499745"/>
                    </a:xfrm>
                    <a:prstGeom prst="rect">
                      <a:avLst/>
                    </a:prstGeom>
                    <a:noFill/>
                  </pic:spPr>
                </pic:pic>
              </a:graphicData>
            </a:graphic>
          </wp:anchor>
        </w:drawing>
      </w:r>
    </w:p>
    <w:p w14:paraId="2FBB2C89" w14:textId="77777777" w:rsidR="00DA0027" w:rsidRDefault="00DA0027" w:rsidP="00DA0027">
      <w:pPr>
        <w:jc w:val="right"/>
        <w:rPr>
          <w:b/>
          <w:u w:val="single"/>
        </w:rPr>
      </w:pPr>
    </w:p>
    <w:p w14:paraId="3AA841D0" w14:textId="77777777" w:rsidR="00DA0027" w:rsidRDefault="00DA0027" w:rsidP="00DA0027">
      <w:pPr>
        <w:jc w:val="right"/>
        <w:rPr>
          <w:b/>
          <w:u w:val="single"/>
        </w:rPr>
      </w:pPr>
    </w:p>
    <w:p w14:paraId="63F18B52" w14:textId="77777777" w:rsidR="00DA0027" w:rsidRDefault="00DA0027" w:rsidP="00DA0027">
      <w:pPr>
        <w:pStyle w:val="Titre1"/>
        <w:jc w:val="center"/>
      </w:pPr>
    </w:p>
    <w:p w14:paraId="447AC2EC" w14:textId="77777777" w:rsidR="00DA0027" w:rsidRDefault="00DA0027" w:rsidP="00DA0027">
      <w:pPr>
        <w:pStyle w:val="Titre1"/>
        <w:jc w:val="center"/>
      </w:pPr>
      <w:r>
        <w:t>Key decisions of the CCRI and CCRI Sections</w:t>
      </w:r>
    </w:p>
    <w:p w14:paraId="3494B46C" w14:textId="77777777" w:rsidR="00DA0027" w:rsidRDefault="00DA0027" w:rsidP="00DA0027">
      <w:pPr>
        <w:pStyle w:val="Titre1"/>
        <w:jc w:val="center"/>
      </w:pPr>
    </w:p>
    <w:p w14:paraId="47DA6129" w14:textId="77777777" w:rsidR="004B6C14" w:rsidRDefault="004B6C14" w:rsidP="00DA0027">
      <w:pPr>
        <w:jc w:val="center"/>
      </w:pPr>
    </w:p>
    <w:p w14:paraId="1FCE3824" w14:textId="77777777" w:rsidR="004B6C14" w:rsidRDefault="004B6C14" w:rsidP="00DA0027">
      <w:pPr>
        <w:jc w:val="center"/>
      </w:pPr>
    </w:p>
    <w:p w14:paraId="454C732D" w14:textId="77777777" w:rsidR="00DA0027" w:rsidRDefault="00DA0027" w:rsidP="00DA0027">
      <w:pPr>
        <w:jc w:val="center"/>
      </w:pPr>
      <w:r>
        <w:t>This document is a compendium of the key decisions taken by the CCRI and Section</w:t>
      </w:r>
      <w:r w:rsidR="004B6C14">
        <w:t xml:space="preserve">s </w:t>
      </w:r>
      <w:r>
        <w:t>(I), (II) and (III) since 1999.</w:t>
      </w:r>
    </w:p>
    <w:p w14:paraId="20EB64BC" w14:textId="77777777" w:rsidR="00DA0027" w:rsidRDefault="00DA0027" w:rsidP="00DA0027">
      <w:r>
        <w:t xml:space="preserve">                                 </w:t>
      </w:r>
    </w:p>
    <w:p w14:paraId="01843C8B" w14:textId="5A91F9E9" w:rsidR="00DA0027" w:rsidRDefault="00DA0027" w:rsidP="00DA0027">
      <w:r>
        <w:t xml:space="preserve">                                 </w:t>
      </w:r>
      <w:r w:rsidR="00455928">
        <w:t>V</w:t>
      </w:r>
      <w:r>
        <w:t xml:space="preserve"> </w:t>
      </w:r>
      <w:r w:rsidR="00455928">
        <w:t>Gressier</w:t>
      </w:r>
    </w:p>
    <w:p w14:paraId="49135578" w14:textId="77777777" w:rsidR="00DA0027" w:rsidRDefault="00DA0027" w:rsidP="00DA0027">
      <w:r>
        <w:t xml:space="preserve">                                 CCRI Executive Secretary</w:t>
      </w:r>
    </w:p>
    <w:p w14:paraId="05C2C68C" w14:textId="77777777" w:rsidR="00DA0027" w:rsidRDefault="00DA0027" w:rsidP="00DA0027"/>
    <w:p w14:paraId="1C47A1A8" w14:textId="77777777" w:rsidR="00DA0027" w:rsidRDefault="00DA0027">
      <w:r>
        <w:br w:type="page"/>
      </w:r>
    </w:p>
    <w:p w14:paraId="031177BC" w14:textId="77777777" w:rsidR="00DA0027" w:rsidRPr="00DA0027" w:rsidRDefault="00DA0027" w:rsidP="00DA0027"/>
    <w:p w14:paraId="502B28A2" w14:textId="77777777" w:rsidR="007825D2" w:rsidRDefault="007825D2"/>
    <w:tbl>
      <w:tblPr>
        <w:tblStyle w:val="TableauGrille1Clair-Accentuation1"/>
        <w:tblW w:w="12950" w:type="dxa"/>
        <w:tblLook w:val="04A0" w:firstRow="1" w:lastRow="0" w:firstColumn="1" w:lastColumn="0" w:noHBand="0" w:noVBand="1"/>
      </w:tblPr>
      <w:tblGrid>
        <w:gridCol w:w="1345"/>
        <w:gridCol w:w="1890"/>
        <w:gridCol w:w="2520"/>
        <w:gridCol w:w="7195"/>
      </w:tblGrid>
      <w:tr w:rsidR="007825D2" w14:paraId="1B88A871" w14:textId="77777777" w:rsidTr="00B310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2C2B7AE" w14:textId="77777777" w:rsidR="007825D2" w:rsidRDefault="007825D2" w:rsidP="007825D2">
            <w:pPr>
              <w:jc w:val="center"/>
            </w:pPr>
            <w:r>
              <w:t>Committee</w:t>
            </w:r>
          </w:p>
        </w:tc>
        <w:tc>
          <w:tcPr>
            <w:tcW w:w="1890" w:type="dxa"/>
          </w:tcPr>
          <w:p w14:paraId="230D5D1D" w14:textId="77777777" w:rsidR="007825D2" w:rsidRDefault="007825D2" w:rsidP="007825D2">
            <w:pPr>
              <w:jc w:val="center"/>
              <w:cnfStyle w:val="100000000000" w:firstRow="1" w:lastRow="0" w:firstColumn="0" w:lastColumn="0" w:oddVBand="0" w:evenVBand="0" w:oddHBand="0" w:evenHBand="0" w:firstRowFirstColumn="0" w:firstRowLastColumn="0" w:lastRowFirstColumn="0" w:lastRowLastColumn="0"/>
            </w:pPr>
            <w:r>
              <w:t>Date</w:t>
            </w:r>
          </w:p>
        </w:tc>
        <w:tc>
          <w:tcPr>
            <w:tcW w:w="2520" w:type="dxa"/>
          </w:tcPr>
          <w:p w14:paraId="52B9DF46" w14:textId="77777777" w:rsidR="007825D2" w:rsidRDefault="007825D2" w:rsidP="007825D2">
            <w:pPr>
              <w:jc w:val="center"/>
              <w:cnfStyle w:val="100000000000" w:firstRow="1" w:lastRow="0" w:firstColumn="0" w:lastColumn="0" w:oddVBand="0" w:evenVBand="0" w:oddHBand="0" w:evenHBand="0" w:firstRowFirstColumn="0" w:firstRowLastColumn="0" w:lastRowFirstColumn="0" w:lastRowLastColumn="0"/>
            </w:pPr>
            <w:r>
              <w:t>Supporting documents</w:t>
            </w:r>
          </w:p>
          <w:p w14:paraId="3FB7740B" w14:textId="77777777" w:rsidR="007825D2" w:rsidRDefault="007825D2" w:rsidP="007825D2">
            <w:pPr>
              <w:jc w:val="center"/>
              <w:cnfStyle w:val="100000000000" w:firstRow="1" w:lastRow="0" w:firstColumn="0" w:lastColumn="0" w:oddVBand="0" w:evenVBand="0" w:oddHBand="0" w:evenHBand="0" w:firstRowFirstColumn="0" w:firstRowLastColumn="0" w:lastRowFirstColumn="0" w:lastRowLastColumn="0"/>
            </w:pPr>
            <w:r>
              <w:t>(where applicable)</w:t>
            </w:r>
          </w:p>
        </w:tc>
        <w:tc>
          <w:tcPr>
            <w:tcW w:w="7195" w:type="dxa"/>
          </w:tcPr>
          <w:p w14:paraId="7BEBAE3F" w14:textId="77777777" w:rsidR="007825D2" w:rsidRDefault="007825D2">
            <w:pPr>
              <w:cnfStyle w:val="100000000000" w:firstRow="1" w:lastRow="0" w:firstColumn="0" w:lastColumn="0" w:oddVBand="0" w:evenVBand="0" w:oddHBand="0" w:evenHBand="0" w:firstRowFirstColumn="0" w:firstRowLastColumn="0" w:lastRowFirstColumn="0" w:lastRowLastColumn="0"/>
            </w:pPr>
            <w:r>
              <w:t>Notes</w:t>
            </w:r>
          </w:p>
        </w:tc>
      </w:tr>
      <w:tr w:rsidR="00B31080" w14:paraId="7E247CBC" w14:textId="51453E7A" w:rsidTr="00B31080">
        <w:tc>
          <w:tcPr>
            <w:cnfStyle w:val="001000000000" w:firstRow="0" w:lastRow="0" w:firstColumn="1" w:lastColumn="0" w:oddVBand="0" w:evenVBand="0" w:oddHBand="0" w:evenHBand="0" w:firstRowFirstColumn="0" w:firstRowLastColumn="0" w:lastRowFirstColumn="0" w:lastRowLastColumn="0"/>
            <w:tcW w:w="1345" w:type="dxa"/>
          </w:tcPr>
          <w:p w14:paraId="69A7845D" w14:textId="31E7F9AD" w:rsidR="00B31080" w:rsidRDefault="00B31080" w:rsidP="00B31080">
            <w:r>
              <w:t>CCRI</w:t>
            </w:r>
          </w:p>
        </w:tc>
        <w:tc>
          <w:tcPr>
            <w:tcW w:w="1890" w:type="dxa"/>
          </w:tcPr>
          <w:p w14:paraId="5A8DCE42" w14:textId="1EAA4894" w:rsidR="00B31080" w:rsidRDefault="00B31080" w:rsidP="00B31080">
            <w:pPr>
              <w:cnfStyle w:val="000000000000" w:firstRow="0" w:lastRow="0" w:firstColumn="0" w:lastColumn="0" w:oddVBand="0" w:evenVBand="0" w:oddHBand="0" w:evenHBand="0" w:firstRowFirstColumn="0" w:firstRowLastColumn="0" w:lastRowFirstColumn="0" w:lastRowLastColumn="0"/>
            </w:pPr>
            <w:r>
              <w:t>9 June 202</w:t>
            </w:r>
            <w:r>
              <w:t>3</w:t>
            </w:r>
          </w:p>
        </w:tc>
        <w:tc>
          <w:tcPr>
            <w:tcW w:w="2520" w:type="dxa"/>
          </w:tcPr>
          <w:p w14:paraId="6F5FA5B9" w14:textId="2D3BFBFF" w:rsidR="00B31080" w:rsidRDefault="00B31080" w:rsidP="00B31080">
            <w:pPr>
              <w:cnfStyle w:val="000000000000" w:firstRow="0" w:lastRow="0" w:firstColumn="0" w:lastColumn="0" w:oddVBand="0" w:evenVBand="0" w:oddHBand="0" w:evenHBand="0" w:firstRowFirstColumn="0" w:firstRowLastColumn="0" w:lastRowFirstColumn="0" w:lastRowLastColumn="0"/>
            </w:pPr>
            <w:r>
              <w:t>Minutes – 2</w:t>
            </w:r>
            <w:r>
              <w:t>9</w:t>
            </w:r>
            <w:r w:rsidRPr="007825D2">
              <w:rPr>
                <w:vertAlign w:val="superscript"/>
              </w:rPr>
              <w:t>th</w:t>
            </w:r>
            <w:r>
              <w:t xml:space="preserve"> meeting</w:t>
            </w:r>
          </w:p>
          <w:p w14:paraId="0D2E9817"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p>
        </w:tc>
        <w:tc>
          <w:tcPr>
            <w:tcW w:w="7195" w:type="dxa"/>
          </w:tcPr>
          <w:p w14:paraId="4F8D633A" w14:textId="0DC3627F" w:rsidR="00B31080" w:rsidRDefault="00B31080" w:rsidP="00B31080">
            <w:pPr>
              <w:cnfStyle w:val="000000000000" w:firstRow="0" w:lastRow="0" w:firstColumn="0" w:lastColumn="0" w:oddVBand="0" w:evenVBand="0" w:oddHBand="0" w:evenHBand="0" w:firstRowFirstColumn="0" w:firstRowLastColumn="0" w:lastRowFirstColumn="0" w:lastRowLastColumn="0"/>
            </w:pPr>
            <w:r>
              <w:t>Recommendation JCRB/46-1 (2023): Noting the availability in the KCDB of a unique and persistent identifier for each CMC (and each version of a CMC), the JCRB recommends use of these CMC identifiers by the participating NMIs/DIs (for example in their quality documentation) and asks the BIPM Headquarters to make available appropriate training material to encourage this.</w:t>
            </w:r>
          </w:p>
        </w:tc>
      </w:tr>
      <w:tr w:rsidR="00B31080" w14:paraId="6D488C99" w14:textId="77777777" w:rsidTr="00B31080">
        <w:tc>
          <w:tcPr>
            <w:cnfStyle w:val="001000000000" w:firstRow="0" w:lastRow="0" w:firstColumn="1" w:lastColumn="0" w:oddVBand="0" w:evenVBand="0" w:oddHBand="0" w:evenHBand="0" w:firstRowFirstColumn="0" w:firstRowLastColumn="0" w:lastRowFirstColumn="0" w:lastRowLastColumn="0"/>
            <w:tcW w:w="1345" w:type="dxa"/>
          </w:tcPr>
          <w:p w14:paraId="317D436F" w14:textId="527F5C8C" w:rsidR="00B31080" w:rsidRDefault="00B31080" w:rsidP="00B31080">
            <w:r>
              <w:t>CCRI</w:t>
            </w:r>
          </w:p>
        </w:tc>
        <w:tc>
          <w:tcPr>
            <w:tcW w:w="1890" w:type="dxa"/>
          </w:tcPr>
          <w:p w14:paraId="2D90C7C7" w14:textId="7B0E553A" w:rsidR="00B31080" w:rsidRDefault="00B31080" w:rsidP="00B31080">
            <w:pPr>
              <w:cnfStyle w:val="000000000000" w:firstRow="0" w:lastRow="0" w:firstColumn="0" w:lastColumn="0" w:oddVBand="0" w:evenVBand="0" w:oddHBand="0" w:evenHBand="0" w:firstRowFirstColumn="0" w:firstRowLastColumn="0" w:lastRowFirstColumn="0" w:lastRowLastColumn="0"/>
            </w:pPr>
            <w:r>
              <w:t>9 June 2023</w:t>
            </w:r>
          </w:p>
        </w:tc>
        <w:tc>
          <w:tcPr>
            <w:tcW w:w="2520" w:type="dxa"/>
          </w:tcPr>
          <w:p w14:paraId="6FE88143"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Minutes – 29</w:t>
            </w:r>
            <w:r w:rsidRPr="007825D2">
              <w:rPr>
                <w:vertAlign w:val="superscript"/>
              </w:rPr>
              <w:t>th</w:t>
            </w:r>
            <w:r>
              <w:t xml:space="preserve"> meeting</w:t>
            </w:r>
          </w:p>
          <w:p w14:paraId="264CD797"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p>
        </w:tc>
        <w:tc>
          <w:tcPr>
            <w:tcW w:w="7195" w:type="dxa"/>
          </w:tcPr>
          <w:p w14:paraId="3E580FE5" w14:textId="4F7C1F68" w:rsidR="00B31080" w:rsidRDefault="00B31080" w:rsidP="00B31080">
            <w:pPr>
              <w:cnfStyle w:val="000000000000" w:firstRow="0" w:lastRow="0" w:firstColumn="0" w:lastColumn="0" w:oddVBand="0" w:evenVBand="0" w:oddHBand="0" w:evenHBand="0" w:firstRowFirstColumn="0" w:firstRowLastColumn="0" w:lastRowFirstColumn="0" w:lastRowLastColumn="0"/>
            </w:pPr>
            <w:r>
              <w:t>-</w:t>
            </w:r>
            <w:r>
              <w:t xml:space="preserve"> Institutes being member of 1/at least 2 Section(s) are invited to apply for, respectively, official observer/member status of CCRI by sending a letter to the BIPM director </w:t>
            </w:r>
          </w:p>
          <w:p w14:paraId="22B26B9D" w14:textId="5BB453A1" w:rsidR="00B31080" w:rsidRDefault="00B31080" w:rsidP="00B31080">
            <w:pPr>
              <w:cnfStyle w:val="000000000000" w:firstRow="0" w:lastRow="0" w:firstColumn="0" w:lastColumn="0" w:oddVBand="0" w:evenVBand="0" w:oddHBand="0" w:evenHBand="0" w:firstRowFirstColumn="0" w:firstRowLastColumn="0" w:lastRowFirstColumn="0" w:lastRowLastColumn="0"/>
            </w:pPr>
            <w:r>
              <w:t>-</w:t>
            </w:r>
            <w:r>
              <w:t xml:space="preserve"> About Sections, institutes (not individuals) will be kept on the BIPM webpages. Only two statuses will remain in Sections: member or guest (observer status no longer exists). </w:t>
            </w:r>
          </w:p>
          <w:p w14:paraId="28DA1023" w14:textId="02E24C4E" w:rsidR="00B31080" w:rsidRDefault="00B31080" w:rsidP="00B31080">
            <w:pPr>
              <w:cnfStyle w:val="000000000000" w:firstRow="0" w:lastRow="0" w:firstColumn="0" w:lastColumn="0" w:oddVBand="0" w:evenVBand="0" w:oddHBand="0" w:evenHBand="0" w:firstRowFirstColumn="0" w:firstRowLastColumn="0" w:lastRowFirstColumn="0" w:lastRowLastColumn="0"/>
            </w:pPr>
            <w:r>
              <w:t>-</w:t>
            </w:r>
            <w:r>
              <w:t xml:space="preserve"> Number of participants to Sections meetings will be limited as follows: </w:t>
            </w:r>
          </w:p>
          <w:p w14:paraId="1DA80B29" w14:textId="77777777" w:rsidR="00B31080" w:rsidRDefault="00B31080" w:rsidP="00B31080">
            <w:pPr>
              <w:ind w:left="657"/>
              <w:cnfStyle w:val="000000000000" w:firstRow="0" w:lastRow="0" w:firstColumn="0" w:lastColumn="0" w:oddVBand="0" w:evenVBand="0" w:oddHBand="0" w:evenHBand="0" w:firstRowFirstColumn="0" w:firstRowLastColumn="0" w:lastRowFirstColumn="0" w:lastRowLastColumn="0"/>
            </w:pPr>
            <w:r>
              <w:t>o Section I: 2 participants (3 when including online)</w:t>
            </w:r>
          </w:p>
          <w:p w14:paraId="1CCBB913" w14:textId="77777777" w:rsidR="00B31080" w:rsidRDefault="00B31080" w:rsidP="00B31080">
            <w:pPr>
              <w:ind w:left="657"/>
              <w:cnfStyle w:val="000000000000" w:firstRow="0" w:lastRow="0" w:firstColumn="0" w:lastColumn="0" w:oddVBand="0" w:evenVBand="0" w:oddHBand="0" w:evenHBand="0" w:firstRowFirstColumn="0" w:firstRowLastColumn="0" w:lastRowFirstColumn="0" w:lastRowLastColumn="0"/>
            </w:pPr>
            <w:r>
              <w:t xml:space="preserve">o Section II: 2 participants (4 when including online) </w:t>
            </w:r>
          </w:p>
          <w:p w14:paraId="6CF77B78" w14:textId="4FA234AD" w:rsidR="00B31080" w:rsidRDefault="00B31080" w:rsidP="00B31080">
            <w:pPr>
              <w:ind w:left="657"/>
              <w:cnfStyle w:val="000000000000" w:firstRow="0" w:lastRow="0" w:firstColumn="0" w:lastColumn="0" w:oddVBand="0" w:evenVBand="0" w:oddHBand="0" w:evenHBand="0" w:firstRowFirstColumn="0" w:firstRowLastColumn="0" w:lastRowFirstColumn="0" w:lastRowLastColumn="0"/>
            </w:pPr>
            <w:r>
              <w:t>o Section III: 3 participants (+online on request)</w:t>
            </w:r>
          </w:p>
        </w:tc>
      </w:tr>
      <w:tr w:rsidR="00B31080" w14:paraId="2FF9DDEF" w14:textId="77777777" w:rsidTr="00B31080">
        <w:tc>
          <w:tcPr>
            <w:cnfStyle w:val="001000000000" w:firstRow="0" w:lastRow="0" w:firstColumn="1" w:lastColumn="0" w:oddVBand="0" w:evenVBand="0" w:oddHBand="0" w:evenHBand="0" w:firstRowFirstColumn="0" w:firstRowLastColumn="0" w:lastRowFirstColumn="0" w:lastRowLastColumn="0"/>
            <w:tcW w:w="1345" w:type="dxa"/>
          </w:tcPr>
          <w:p w14:paraId="7A979A09" w14:textId="4A17E052" w:rsidR="00B31080" w:rsidRDefault="00B31080" w:rsidP="00B31080">
            <w:r>
              <w:t>CCRI</w:t>
            </w:r>
          </w:p>
        </w:tc>
        <w:tc>
          <w:tcPr>
            <w:tcW w:w="1890" w:type="dxa"/>
          </w:tcPr>
          <w:p w14:paraId="24FD482D" w14:textId="78130241" w:rsidR="00B31080" w:rsidRDefault="00B31080" w:rsidP="00B31080">
            <w:pPr>
              <w:cnfStyle w:val="000000000000" w:firstRow="0" w:lastRow="0" w:firstColumn="0" w:lastColumn="0" w:oddVBand="0" w:evenVBand="0" w:oddHBand="0" w:evenHBand="0" w:firstRowFirstColumn="0" w:firstRowLastColumn="0" w:lastRowFirstColumn="0" w:lastRowLastColumn="0"/>
            </w:pPr>
            <w:r>
              <w:t>9 June 2021</w:t>
            </w:r>
          </w:p>
        </w:tc>
        <w:tc>
          <w:tcPr>
            <w:tcW w:w="2520" w:type="dxa"/>
          </w:tcPr>
          <w:p w14:paraId="3D4ED179" w14:textId="4E9905E8" w:rsidR="00B31080" w:rsidRDefault="00B31080" w:rsidP="00B31080">
            <w:pPr>
              <w:cnfStyle w:val="000000000000" w:firstRow="0" w:lastRow="0" w:firstColumn="0" w:lastColumn="0" w:oddVBand="0" w:evenVBand="0" w:oddHBand="0" w:evenHBand="0" w:firstRowFirstColumn="0" w:firstRowLastColumn="0" w:lastRowFirstColumn="0" w:lastRowLastColumn="0"/>
            </w:pPr>
            <w:r>
              <w:t>Minutes – 2</w:t>
            </w:r>
            <w:r>
              <w:t>8</w:t>
            </w:r>
            <w:r w:rsidRPr="007825D2">
              <w:rPr>
                <w:vertAlign w:val="superscript"/>
              </w:rPr>
              <w:t>th</w:t>
            </w:r>
            <w:r>
              <w:t xml:space="preserve"> meeting</w:t>
            </w:r>
          </w:p>
          <w:p w14:paraId="23C6B865"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p>
        </w:tc>
        <w:tc>
          <w:tcPr>
            <w:tcW w:w="7195" w:type="dxa"/>
          </w:tcPr>
          <w:p w14:paraId="199CD090" w14:textId="6D914931" w:rsidR="00B31080" w:rsidRDefault="00B31080" w:rsidP="00B31080">
            <w:pPr>
              <w:cnfStyle w:val="000000000000" w:firstRow="0" w:lastRow="0" w:firstColumn="0" w:lastColumn="0" w:oddVBand="0" w:evenVBand="0" w:oddHBand="0" w:evenHBand="0" w:firstRowFirstColumn="0" w:firstRowLastColumn="0" w:lastRowFirstColumn="0" w:lastRowLastColumn="0"/>
            </w:pPr>
            <w:r>
              <w:t>For CCRI Section(I), the initial validity period of Key Comparisons will be increased from10 to 12 years, with an emphasis on a risk-based approach to planning Key Comparisons</w:t>
            </w:r>
          </w:p>
        </w:tc>
      </w:tr>
      <w:tr w:rsidR="00B31080" w14:paraId="1D88A885" w14:textId="77777777" w:rsidTr="00B31080">
        <w:tc>
          <w:tcPr>
            <w:cnfStyle w:val="001000000000" w:firstRow="0" w:lastRow="0" w:firstColumn="1" w:lastColumn="0" w:oddVBand="0" w:evenVBand="0" w:oddHBand="0" w:evenHBand="0" w:firstRowFirstColumn="0" w:firstRowLastColumn="0" w:lastRowFirstColumn="0" w:lastRowLastColumn="0"/>
            <w:tcW w:w="1345" w:type="dxa"/>
          </w:tcPr>
          <w:p w14:paraId="505E2D82" w14:textId="5C858ABB" w:rsidR="00B31080" w:rsidRDefault="00B31080" w:rsidP="00B31080">
            <w:r>
              <w:t>CCRI</w:t>
            </w:r>
          </w:p>
        </w:tc>
        <w:tc>
          <w:tcPr>
            <w:tcW w:w="1890" w:type="dxa"/>
          </w:tcPr>
          <w:p w14:paraId="4804BF39" w14:textId="0A281B54" w:rsidR="00B31080" w:rsidRDefault="00B31080" w:rsidP="00B31080">
            <w:pPr>
              <w:cnfStyle w:val="000000000000" w:firstRow="0" w:lastRow="0" w:firstColumn="0" w:lastColumn="0" w:oddVBand="0" w:evenVBand="0" w:oddHBand="0" w:evenHBand="0" w:firstRowFirstColumn="0" w:firstRowLastColumn="0" w:lastRowFirstColumn="0" w:lastRowLastColumn="0"/>
            </w:pPr>
            <w:r>
              <w:t>9 June 2021</w:t>
            </w:r>
          </w:p>
        </w:tc>
        <w:tc>
          <w:tcPr>
            <w:tcW w:w="2520" w:type="dxa"/>
          </w:tcPr>
          <w:p w14:paraId="3FAD0E80"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Minutes – 28</w:t>
            </w:r>
            <w:r w:rsidRPr="007825D2">
              <w:rPr>
                <w:vertAlign w:val="superscript"/>
              </w:rPr>
              <w:t>th</w:t>
            </w:r>
            <w:r>
              <w:t xml:space="preserve"> meeting</w:t>
            </w:r>
          </w:p>
          <w:p w14:paraId="7928D63B"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p>
        </w:tc>
        <w:tc>
          <w:tcPr>
            <w:tcW w:w="7195" w:type="dxa"/>
          </w:tcPr>
          <w:p w14:paraId="2EAF7E2F" w14:textId="0E387D86" w:rsidR="00B31080" w:rsidRDefault="00B31080" w:rsidP="00B31080">
            <w:pPr>
              <w:cnfStyle w:val="000000000000" w:firstRow="0" w:lastRow="0" w:firstColumn="0" w:lastColumn="0" w:oddVBand="0" w:evenVBand="0" w:oddHBand="0" w:evenHBand="0" w:firstRowFirstColumn="0" w:firstRowLastColumn="0" w:lastRowFirstColumn="0" w:lastRowLastColumn="0"/>
            </w:pPr>
            <w:r>
              <w:t>All comparison reports, including RMO supplementary comparisons, will continue to be reviewed by the relevant CCRI Section, noting that this is in addition to the requirements of CIPM-MRA</w:t>
            </w:r>
            <w:r>
              <w:t xml:space="preserve"> </w:t>
            </w:r>
            <w:r>
              <w:t>G</w:t>
            </w:r>
            <w:r>
              <w:t>-</w:t>
            </w:r>
            <w:r>
              <w:t>11</w:t>
            </w:r>
          </w:p>
        </w:tc>
      </w:tr>
      <w:tr w:rsidR="00B31080" w14:paraId="6AE0606A" w14:textId="77777777" w:rsidTr="00B31080">
        <w:tc>
          <w:tcPr>
            <w:cnfStyle w:val="001000000000" w:firstRow="0" w:lastRow="0" w:firstColumn="1" w:lastColumn="0" w:oddVBand="0" w:evenVBand="0" w:oddHBand="0" w:evenHBand="0" w:firstRowFirstColumn="0" w:firstRowLastColumn="0" w:lastRowFirstColumn="0" w:lastRowLastColumn="0"/>
            <w:tcW w:w="1345" w:type="dxa"/>
          </w:tcPr>
          <w:p w14:paraId="64B2ACC6" w14:textId="77777777" w:rsidR="00B31080" w:rsidRDefault="00B31080" w:rsidP="00B31080">
            <w:r>
              <w:t>CCRI</w:t>
            </w:r>
          </w:p>
        </w:tc>
        <w:tc>
          <w:tcPr>
            <w:tcW w:w="1890" w:type="dxa"/>
          </w:tcPr>
          <w:p w14:paraId="359B0AD6"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7 June 2019</w:t>
            </w:r>
          </w:p>
        </w:tc>
        <w:tc>
          <w:tcPr>
            <w:tcW w:w="2520" w:type="dxa"/>
          </w:tcPr>
          <w:p w14:paraId="17FB8498"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Minutes – 27</w:t>
            </w:r>
            <w:r w:rsidRPr="007825D2">
              <w:rPr>
                <w:vertAlign w:val="superscript"/>
              </w:rPr>
              <w:t>th</w:t>
            </w:r>
            <w:r>
              <w:t xml:space="preserve"> meeting</w:t>
            </w:r>
          </w:p>
          <w:p w14:paraId="271A6E52"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Minutes – 23</w:t>
            </w:r>
            <w:r w:rsidRPr="00B5571D">
              <w:rPr>
                <w:vertAlign w:val="superscript"/>
              </w:rPr>
              <w:t>rd</w:t>
            </w:r>
            <w:r>
              <w:t xml:space="preserve"> meeting</w:t>
            </w:r>
          </w:p>
          <w:p w14:paraId="3C0714FC"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CCRI/12-05</w:t>
            </w:r>
          </w:p>
        </w:tc>
        <w:tc>
          <w:tcPr>
            <w:tcW w:w="7195" w:type="dxa"/>
          </w:tcPr>
          <w:p w14:paraId="76BCCF2D"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The period of validity of ionizing radiation comparisons under the CIPM MRA was reviewed and updated.</w:t>
            </w:r>
          </w:p>
          <w:p w14:paraId="4464E410"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p>
          <w:p w14:paraId="6D8E173F"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 xml:space="preserve">A result from a comparison exercises may be used to support an application for new CMCs only for a limited time period. The time period starts from when the laboratory completed its measurement. The time period depends on the field:   </w:t>
            </w:r>
            <w:r>
              <w:br/>
            </w:r>
            <w:r>
              <w:lastRenderedPageBreak/>
              <w:t xml:space="preserve"> </w:t>
            </w:r>
            <w:r>
              <w:br/>
              <w:t>Section I:  10 years (15 years in exceptional cases)</w:t>
            </w:r>
          </w:p>
          <w:p w14:paraId="7F1EB921"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Section II: 15 years (20 years in exceptional cases)</w:t>
            </w:r>
            <w:r>
              <w:br/>
              <w:t>Section III: 10 years (15 years in exceptional cases)</w:t>
            </w:r>
          </w:p>
          <w:p w14:paraId="58B120E5"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p>
          <w:p w14:paraId="1E47DF6A"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The CCRI Sections will decide whether an extension can be permitted.</w:t>
            </w:r>
          </w:p>
          <w:p w14:paraId="4652A067"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p>
        </w:tc>
      </w:tr>
      <w:tr w:rsidR="00B31080" w14:paraId="0A28C7E4" w14:textId="77777777" w:rsidTr="00B31080">
        <w:tc>
          <w:tcPr>
            <w:cnfStyle w:val="001000000000" w:firstRow="0" w:lastRow="0" w:firstColumn="1" w:lastColumn="0" w:oddVBand="0" w:evenVBand="0" w:oddHBand="0" w:evenHBand="0" w:firstRowFirstColumn="0" w:firstRowLastColumn="0" w:lastRowFirstColumn="0" w:lastRowLastColumn="0"/>
            <w:tcW w:w="1345" w:type="dxa"/>
          </w:tcPr>
          <w:p w14:paraId="3CDFA9E9" w14:textId="77777777" w:rsidR="00B31080" w:rsidRDefault="00B31080" w:rsidP="00B31080">
            <w:r>
              <w:lastRenderedPageBreak/>
              <w:t>CCRI</w:t>
            </w:r>
          </w:p>
        </w:tc>
        <w:tc>
          <w:tcPr>
            <w:tcW w:w="1890" w:type="dxa"/>
          </w:tcPr>
          <w:p w14:paraId="6B861C98"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7 June 2019</w:t>
            </w:r>
          </w:p>
        </w:tc>
        <w:tc>
          <w:tcPr>
            <w:tcW w:w="2520" w:type="dxa"/>
          </w:tcPr>
          <w:p w14:paraId="1303E1F7"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Minutes – 27</w:t>
            </w:r>
            <w:r w:rsidRPr="007825D2">
              <w:rPr>
                <w:vertAlign w:val="superscript"/>
              </w:rPr>
              <w:t>th</w:t>
            </w:r>
            <w:r>
              <w:t xml:space="preserve"> meeting</w:t>
            </w:r>
          </w:p>
        </w:tc>
        <w:tc>
          <w:tcPr>
            <w:tcW w:w="7195" w:type="dxa"/>
          </w:tcPr>
          <w:p w14:paraId="17008631"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New service categories were adopted (see guidance documents).</w:t>
            </w:r>
          </w:p>
        </w:tc>
      </w:tr>
      <w:tr w:rsidR="00B31080" w14:paraId="5F21FEBD" w14:textId="77777777" w:rsidTr="00B31080">
        <w:tc>
          <w:tcPr>
            <w:cnfStyle w:val="001000000000" w:firstRow="0" w:lastRow="0" w:firstColumn="1" w:lastColumn="0" w:oddVBand="0" w:evenVBand="0" w:oddHBand="0" w:evenHBand="0" w:firstRowFirstColumn="0" w:firstRowLastColumn="0" w:lastRowFirstColumn="0" w:lastRowLastColumn="0"/>
            <w:tcW w:w="1345" w:type="dxa"/>
          </w:tcPr>
          <w:p w14:paraId="5989313F" w14:textId="77777777" w:rsidR="00B31080" w:rsidRDefault="00B31080" w:rsidP="00B31080">
            <w:r>
              <w:t>CCRI</w:t>
            </w:r>
          </w:p>
        </w:tc>
        <w:tc>
          <w:tcPr>
            <w:tcW w:w="1890" w:type="dxa"/>
          </w:tcPr>
          <w:p w14:paraId="7F33194C"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7 June 2019</w:t>
            </w:r>
          </w:p>
        </w:tc>
        <w:tc>
          <w:tcPr>
            <w:tcW w:w="2520" w:type="dxa"/>
          </w:tcPr>
          <w:p w14:paraId="665E6986"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Minutes – 27</w:t>
            </w:r>
            <w:r w:rsidRPr="00052447">
              <w:rPr>
                <w:vertAlign w:val="superscript"/>
              </w:rPr>
              <w:t>th</w:t>
            </w:r>
            <w:r>
              <w:t xml:space="preserve"> meeting</w:t>
            </w:r>
          </w:p>
          <w:p w14:paraId="4F032FB1"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RMOWG/19-03</w:t>
            </w:r>
          </w:p>
        </w:tc>
        <w:tc>
          <w:tcPr>
            <w:tcW w:w="7195" w:type="dxa"/>
          </w:tcPr>
          <w:p w14:paraId="4849765D"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rPr>
                <w:sz w:val="24"/>
                <w:szCs w:val="24"/>
              </w:rPr>
            </w:pPr>
            <w:r>
              <w:t>A new interpretation of CMCs for ionizing radiation was adopted to enable broad scope CMCs to be introduced:</w:t>
            </w:r>
            <w:r>
              <w:br/>
            </w:r>
            <w:r>
              <w:br/>
            </w:r>
            <w:r w:rsidRPr="00A27906">
              <w:rPr>
                <w:sz w:val="18"/>
                <w:szCs w:val="18"/>
              </w:rPr>
              <w:t>Considering the definition of a CMC is that it is a capability available to customers under normal conditions “as published in the BIPM key comparison database” (Appendix C of the KCDB), the CCRI recognizes the importance for NMIs/DIs to be able to publish CMCs in Appendix C for any properly-validated and supported metrological service they make available to customers. Nevertheless, such availability does not preclude an NMI/DI from equally providing services to customers not published in Appendix C of the KCDB. Such providence, in order to be considered in the context of the CIPM MRA, must necessarily derive from (be traceable to) a CMC published in Appendix C, and the derivation itself must be clearly documented for the benefit of any customer. This should include description of traceability to a published CMC in an NMI’s/DI’s quality management system documentation and be made available to customers through publicly-available literature, catalogs of services or other mechanisms. Laboratories claiming traceability to quantities not published in Appendix C must similarly describe the traceability chain to the published quantities in their measurement quality system documentation.</w:t>
            </w:r>
          </w:p>
          <w:p w14:paraId="454E9830" w14:textId="77777777" w:rsidR="00B31080" w:rsidRPr="00A27906" w:rsidRDefault="00B31080" w:rsidP="00B31080">
            <w:pPr>
              <w:cnfStyle w:val="000000000000" w:firstRow="0" w:lastRow="0" w:firstColumn="0" w:lastColumn="0" w:oddVBand="0" w:evenVBand="0" w:oddHBand="0" w:evenHBand="0" w:firstRowFirstColumn="0" w:firstRowLastColumn="0" w:lastRowFirstColumn="0" w:lastRowLastColumn="0"/>
              <w:rPr>
                <w:sz w:val="16"/>
                <w:szCs w:val="16"/>
              </w:rPr>
            </w:pPr>
            <w:r w:rsidRPr="00A27906">
              <w:rPr>
                <w:sz w:val="16"/>
                <w:szCs w:val="16"/>
              </w:rPr>
              <w:t>For those NMIs/DIs that intend to use the CIPM MRA logo and statement on calibration certificates for services not directly published in Appendix C but are rather demonstrated as traceable to published CMC(s), and in keeping with the spirit of CIPM-MRA D-02, the following shall be met:</w:t>
            </w:r>
          </w:p>
          <w:p w14:paraId="7331516F" w14:textId="77777777" w:rsidR="00B31080" w:rsidRPr="00A27906" w:rsidRDefault="00B31080" w:rsidP="00B31080">
            <w:pPr>
              <w:pStyle w:val="Paragraphedeliste"/>
              <w:numPr>
                <w:ilvl w:val="0"/>
                <w:numId w:val="1"/>
              </w:numPr>
              <w:spacing w:after="120"/>
              <w:cnfStyle w:val="000000000000" w:firstRow="0" w:lastRow="0" w:firstColumn="0" w:lastColumn="0" w:oddVBand="0" w:evenVBand="0" w:oddHBand="0" w:evenHBand="0" w:firstRowFirstColumn="0" w:firstRowLastColumn="0" w:lastRowFirstColumn="0" w:lastRowLastColumn="0"/>
              <w:rPr>
                <w:sz w:val="16"/>
                <w:szCs w:val="16"/>
              </w:rPr>
            </w:pPr>
            <w:r w:rsidRPr="00A27906">
              <w:rPr>
                <w:sz w:val="16"/>
                <w:szCs w:val="16"/>
              </w:rPr>
              <w:t>The instrument listed in the relevant CMC is identified on the certificate, as is the transfer instrument used (e.g., ionization chamber, gamma-ray spectrometer, etc.) for traceability</w:t>
            </w:r>
          </w:p>
          <w:p w14:paraId="460E1406" w14:textId="77777777" w:rsidR="00B31080" w:rsidRPr="00A27906" w:rsidRDefault="00B31080" w:rsidP="00B31080">
            <w:pPr>
              <w:pStyle w:val="Paragraphedeliste"/>
              <w:numPr>
                <w:ilvl w:val="0"/>
                <w:numId w:val="1"/>
              </w:numPr>
              <w:spacing w:after="120"/>
              <w:cnfStyle w:val="000000000000" w:firstRow="0" w:lastRow="0" w:firstColumn="0" w:lastColumn="0" w:oddVBand="0" w:evenVBand="0" w:oddHBand="0" w:evenHBand="0" w:firstRowFirstColumn="0" w:firstRowLastColumn="0" w:lastRowFirstColumn="0" w:lastRowLastColumn="0"/>
              <w:rPr>
                <w:sz w:val="16"/>
                <w:szCs w:val="16"/>
              </w:rPr>
            </w:pPr>
            <w:r w:rsidRPr="00A27906">
              <w:rPr>
                <w:sz w:val="16"/>
                <w:szCs w:val="16"/>
              </w:rPr>
              <w:t>The traceability of the measured quantity (e.g., activity, dose rate) is within the range of the published CMC</w:t>
            </w:r>
          </w:p>
          <w:p w14:paraId="2522F808" w14:textId="77777777" w:rsidR="00B31080" w:rsidRPr="00A27906" w:rsidRDefault="00B31080" w:rsidP="00B31080">
            <w:pPr>
              <w:pStyle w:val="Paragraphedeliste"/>
              <w:numPr>
                <w:ilvl w:val="0"/>
                <w:numId w:val="1"/>
              </w:numPr>
              <w:spacing w:after="120"/>
              <w:cnfStyle w:val="000000000000" w:firstRow="0" w:lastRow="0" w:firstColumn="0" w:lastColumn="0" w:oddVBand="0" w:evenVBand="0" w:oddHBand="0" w:evenHBand="0" w:firstRowFirstColumn="0" w:firstRowLastColumn="0" w:lastRowFirstColumn="0" w:lastRowLastColumn="0"/>
              <w:rPr>
                <w:sz w:val="16"/>
                <w:szCs w:val="16"/>
              </w:rPr>
            </w:pPr>
            <w:r w:rsidRPr="00A27906">
              <w:rPr>
                <w:sz w:val="16"/>
                <w:szCs w:val="16"/>
              </w:rPr>
              <w:t>The measurement uncertainty is no less than that stated for the relevant CMC, and is expected to be greater due to propagation through the traceability chain</w:t>
            </w:r>
          </w:p>
          <w:p w14:paraId="49921A2E" w14:textId="77777777" w:rsidR="00B31080" w:rsidRPr="00A27906" w:rsidRDefault="00B31080" w:rsidP="00B31080">
            <w:pPr>
              <w:pStyle w:val="Paragraphedeliste"/>
              <w:numPr>
                <w:ilvl w:val="0"/>
                <w:numId w:val="1"/>
              </w:numPr>
              <w:spacing w:after="120"/>
              <w:cnfStyle w:val="000000000000" w:firstRow="0" w:lastRow="0" w:firstColumn="0" w:lastColumn="0" w:oddVBand="0" w:evenVBand="0" w:oddHBand="0" w:evenHBand="0" w:firstRowFirstColumn="0" w:firstRowLastColumn="0" w:lastRowFirstColumn="0" w:lastRowLastColumn="0"/>
              <w:rPr>
                <w:sz w:val="16"/>
                <w:szCs w:val="16"/>
              </w:rPr>
            </w:pPr>
            <w:r w:rsidRPr="00A27906">
              <w:rPr>
                <w:sz w:val="16"/>
                <w:szCs w:val="16"/>
              </w:rPr>
              <w:t>The traceability chain is documented and reviewed as part of the quality management system</w:t>
            </w:r>
          </w:p>
          <w:p w14:paraId="0503374C" w14:textId="77777777" w:rsidR="00B31080" w:rsidRPr="00A27906" w:rsidRDefault="00B31080" w:rsidP="00B31080">
            <w:pPr>
              <w:cnfStyle w:val="000000000000" w:firstRow="0" w:lastRow="0" w:firstColumn="0" w:lastColumn="0" w:oddVBand="0" w:evenVBand="0" w:oddHBand="0" w:evenHBand="0" w:firstRowFirstColumn="0" w:firstRowLastColumn="0" w:lastRowFirstColumn="0" w:lastRowLastColumn="0"/>
              <w:rPr>
                <w:sz w:val="16"/>
                <w:szCs w:val="16"/>
              </w:rPr>
            </w:pPr>
            <w:r w:rsidRPr="00A27906">
              <w:rPr>
                <w:sz w:val="16"/>
                <w:szCs w:val="16"/>
              </w:rPr>
              <w:t>The determination of the appropriateness of a given transfer instrument for a given measurement is a responsibility of the originating NMI, with consultation as needed with experts in the RMO WG on CMCs and/or the relevant Key Comparison Working Group, and is to be agreed-upon by members of the relevant Section of CCRI.</w:t>
            </w:r>
          </w:p>
          <w:p w14:paraId="676D1741" w14:textId="77777777" w:rsidR="00B31080" w:rsidRPr="00A27906" w:rsidRDefault="00B31080" w:rsidP="00B31080">
            <w:pPr>
              <w:cnfStyle w:val="000000000000" w:firstRow="0" w:lastRow="0" w:firstColumn="0" w:lastColumn="0" w:oddVBand="0" w:evenVBand="0" w:oddHBand="0" w:evenHBand="0" w:firstRowFirstColumn="0" w:firstRowLastColumn="0" w:lastRowFirstColumn="0" w:lastRowLastColumn="0"/>
              <w:rPr>
                <w:sz w:val="16"/>
                <w:szCs w:val="16"/>
              </w:rPr>
            </w:pPr>
            <w:r w:rsidRPr="00A27906">
              <w:rPr>
                <w:sz w:val="16"/>
                <w:szCs w:val="16"/>
              </w:rPr>
              <w:t xml:space="preserve">Certificates not using the CIPM MRA logo or statement fall outside the scope of this document. Nevertheless, similar guidance would be considered good practice for all metrological services performed </w:t>
            </w:r>
            <w:r w:rsidRPr="00A27906">
              <w:rPr>
                <w:sz w:val="16"/>
                <w:szCs w:val="16"/>
              </w:rPr>
              <w:lastRenderedPageBreak/>
              <w:t>under the auspices of the CIPM MRA.</w:t>
            </w:r>
            <w:r>
              <w:br/>
            </w:r>
          </w:p>
        </w:tc>
      </w:tr>
      <w:tr w:rsidR="00B31080" w14:paraId="73CEDB9B" w14:textId="77777777" w:rsidTr="00B31080">
        <w:tc>
          <w:tcPr>
            <w:cnfStyle w:val="001000000000" w:firstRow="0" w:lastRow="0" w:firstColumn="1" w:lastColumn="0" w:oddVBand="0" w:evenVBand="0" w:oddHBand="0" w:evenHBand="0" w:firstRowFirstColumn="0" w:firstRowLastColumn="0" w:lastRowFirstColumn="0" w:lastRowLastColumn="0"/>
            <w:tcW w:w="1345" w:type="dxa"/>
          </w:tcPr>
          <w:p w14:paraId="674D6E18" w14:textId="77777777" w:rsidR="00B31080" w:rsidRDefault="00B31080" w:rsidP="00B31080">
            <w:r>
              <w:lastRenderedPageBreak/>
              <w:t>CCRI</w:t>
            </w:r>
          </w:p>
        </w:tc>
        <w:tc>
          <w:tcPr>
            <w:tcW w:w="1890" w:type="dxa"/>
          </w:tcPr>
          <w:p w14:paraId="20857945"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7 June 2019</w:t>
            </w:r>
          </w:p>
        </w:tc>
        <w:tc>
          <w:tcPr>
            <w:tcW w:w="2520" w:type="dxa"/>
          </w:tcPr>
          <w:p w14:paraId="3B8A0AC8"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Minutes – 27</w:t>
            </w:r>
            <w:r w:rsidRPr="00052447">
              <w:rPr>
                <w:vertAlign w:val="superscript"/>
              </w:rPr>
              <w:t>th</w:t>
            </w:r>
            <w:r>
              <w:t xml:space="preserve"> meeting</w:t>
            </w:r>
          </w:p>
        </w:tc>
        <w:tc>
          <w:tcPr>
            <w:tcW w:w="7195" w:type="dxa"/>
          </w:tcPr>
          <w:p w14:paraId="39CC75C5"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 xml:space="preserve"> A new process for approval of comparison reports was adopted. The CCRI Executive Secretary will circulate Draft B reports to the relevant Section for review. Comments received will be sent to the pilot laboratory. If there are no major changes, the final report will be sent to the Section Chair for approval - if approved, the report can be published. The report will be re-circulated if there are major changes.</w:t>
            </w:r>
          </w:p>
        </w:tc>
      </w:tr>
      <w:tr w:rsidR="00B31080" w14:paraId="4F371DB3" w14:textId="77777777" w:rsidTr="00B31080">
        <w:tc>
          <w:tcPr>
            <w:cnfStyle w:val="001000000000" w:firstRow="0" w:lastRow="0" w:firstColumn="1" w:lastColumn="0" w:oddVBand="0" w:evenVBand="0" w:oddHBand="0" w:evenHBand="0" w:firstRowFirstColumn="0" w:firstRowLastColumn="0" w:lastRowFirstColumn="0" w:lastRowLastColumn="0"/>
            <w:tcW w:w="1345" w:type="dxa"/>
          </w:tcPr>
          <w:p w14:paraId="62E3D5A7" w14:textId="2FBD3EB3" w:rsidR="00B31080" w:rsidRDefault="00B31080" w:rsidP="00B31080">
            <w:r>
              <w:t>CCRI</w:t>
            </w:r>
          </w:p>
        </w:tc>
        <w:tc>
          <w:tcPr>
            <w:tcW w:w="1890" w:type="dxa"/>
          </w:tcPr>
          <w:p w14:paraId="59884B52" w14:textId="0A1B236F" w:rsidR="00B31080" w:rsidRDefault="00B31080" w:rsidP="00B31080">
            <w:pPr>
              <w:cnfStyle w:val="000000000000" w:firstRow="0" w:lastRow="0" w:firstColumn="0" w:lastColumn="0" w:oddVBand="0" w:evenVBand="0" w:oddHBand="0" w:evenHBand="0" w:firstRowFirstColumn="0" w:firstRowLastColumn="0" w:lastRowFirstColumn="0" w:lastRowLastColumn="0"/>
            </w:pPr>
            <w:r>
              <w:t>29-30 June 2017</w:t>
            </w:r>
          </w:p>
        </w:tc>
        <w:tc>
          <w:tcPr>
            <w:tcW w:w="2520" w:type="dxa"/>
          </w:tcPr>
          <w:p w14:paraId="4E2B1AF6"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rsidRPr="00EE48CE">
              <w:t xml:space="preserve">Minutes – </w:t>
            </w:r>
            <w:r>
              <w:t>26</w:t>
            </w:r>
            <w:r w:rsidRPr="00EE48CE">
              <w:rPr>
                <w:vertAlign w:val="superscript"/>
              </w:rPr>
              <w:t>th</w:t>
            </w:r>
            <w:r w:rsidRPr="00EE48CE">
              <w:t xml:space="preserve"> meeting</w:t>
            </w:r>
          </w:p>
          <w:p w14:paraId="66B62DB3"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CCRI/17-10</w:t>
            </w:r>
          </w:p>
          <w:p w14:paraId="5CBE78F5"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p>
        </w:tc>
        <w:tc>
          <w:tcPr>
            <w:tcW w:w="7195" w:type="dxa"/>
          </w:tcPr>
          <w:p w14:paraId="7604202A"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It was agreed that the following evidence may be considered by reviewers assessing CMCs:</w:t>
            </w:r>
            <w:r>
              <w:br/>
            </w:r>
          </w:p>
          <w:p w14:paraId="1752D9EE" w14:textId="77777777" w:rsidR="00B31080" w:rsidRDefault="00B31080" w:rsidP="00B31080">
            <w:pPr>
              <w:pStyle w:val="Paragraphedeliste"/>
              <w:numPr>
                <w:ilvl w:val="0"/>
                <w:numId w:val="1"/>
              </w:numPr>
              <w:spacing w:after="120"/>
              <w:cnfStyle w:val="000000000000" w:firstRow="0" w:lastRow="0" w:firstColumn="0" w:lastColumn="0" w:oddVBand="0" w:evenVBand="0" w:oddHBand="0" w:evenHBand="0" w:firstRowFirstColumn="0" w:firstRowLastColumn="0" w:lastRowFirstColumn="0" w:lastRowLastColumn="0"/>
              <w:rPr>
                <w:sz w:val="16"/>
                <w:szCs w:val="16"/>
              </w:rPr>
            </w:pPr>
            <w:r w:rsidRPr="00EE48CE">
              <w:rPr>
                <w:sz w:val="16"/>
                <w:szCs w:val="16"/>
              </w:rPr>
              <w:t xml:space="preserve">Results of key and supplementary comparisons </w:t>
            </w:r>
          </w:p>
          <w:p w14:paraId="607F3DE0" w14:textId="77777777" w:rsidR="00B31080" w:rsidRDefault="00B31080" w:rsidP="00B31080">
            <w:pPr>
              <w:pStyle w:val="Paragraphedeliste"/>
              <w:numPr>
                <w:ilvl w:val="0"/>
                <w:numId w:val="1"/>
              </w:numPr>
              <w:spacing w:after="120"/>
              <w:cnfStyle w:val="000000000000" w:firstRow="0" w:lastRow="0" w:firstColumn="0" w:lastColumn="0" w:oddVBand="0" w:evenVBand="0" w:oddHBand="0" w:evenHBand="0" w:firstRowFirstColumn="0" w:firstRowLastColumn="0" w:lastRowFirstColumn="0" w:lastRowLastColumn="0"/>
              <w:rPr>
                <w:sz w:val="16"/>
                <w:szCs w:val="16"/>
              </w:rPr>
            </w:pPr>
            <w:r w:rsidRPr="00EE48CE">
              <w:rPr>
                <w:sz w:val="16"/>
                <w:szCs w:val="16"/>
              </w:rPr>
              <w:t>Documented results of past CC, RMO or other comparisons (including bilateral)</w:t>
            </w:r>
          </w:p>
          <w:p w14:paraId="0C759FFB" w14:textId="77777777" w:rsidR="00B31080" w:rsidRDefault="00B31080" w:rsidP="00B31080">
            <w:pPr>
              <w:pStyle w:val="Paragraphedeliste"/>
              <w:numPr>
                <w:ilvl w:val="0"/>
                <w:numId w:val="1"/>
              </w:numPr>
              <w:spacing w:after="120"/>
              <w:cnfStyle w:val="000000000000" w:firstRow="0" w:lastRow="0" w:firstColumn="0" w:lastColumn="0" w:oddVBand="0" w:evenVBand="0" w:oddHBand="0" w:evenHBand="0" w:firstRowFirstColumn="0" w:firstRowLastColumn="0" w:lastRowFirstColumn="0" w:lastRowLastColumn="0"/>
              <w:rPr>
                <w:sz w:val="16"/>
                <w:szCs w:val="16"/>
              </w:rPr>
            </w:pPr>
            <w:r w:rsidRPr="00EE48CE">
              <w:rPr>
                <w:sz w:val="16"/>
                <w:szCs w:val="16"/>
              </w:rPr>
              <w:t>Knowledge of technical activities by other NMIs, including publications</w:t>
            </w:r>
          </w:p>
          <w:p w14:paraId="17871F5A" w14:textId="77777777" w:rsidR="00B31080" w:rsidRDefault="00B31080" w:rsidP="00B31080">
            <w:pPr>
              <w:pStyle w:val="Paragraphedeliste"/>
              <w:numPr>
                <w:ilvl w:val="0"/>
                <w:numId w:val="1"/>
              </w:numPr>
              <w:spacing w:after="120"/>
              <w:cnfStyle w:val="000000000000" w:firstRow="0" w:lastRow="0" w:firstColumn="0" w:lastColumn="0" w:oddVBand="0" w:evenVBand="0" w:oddHBand="0" w:evenHBand="0" w:firstRowFirstColumn="0" w:firstRowLastColumn="0" w:lastRowFirstColumn="0" w:lastRowLastColumn="0"/>
              <w:rPr>
                <w:sz w:val="16"/>
                <w:szCs w:val="16"/>
              </w:rPr>
            </w:pPr>
            <w:r w:rsidRPr="00EE48CE">
              <w:rPr>
                <w:sz w:val="16"/>
                <w:szCs w:val="16"/>
              </w:rPr>
              <w:t>On-site peer-assessment reports</w:t>
            </w:r>
          </w:p>
          <w:p w14:paraId="35CA77E4" w14:textId="77777777" w:rsidR="00B31080" w:rsidRDefault="00B31080" w:rsidP="00B31080">
            <w:pPr>
              <w:pStyle w:val="Paragraphedeliste"/>
              <w:numPr>
                <w:ilvl w:val="0"/>
                <w:numId w:val="1"/>
              </w:numPr>
              <w:spacing w:after="120"/>
              <w:cnfStyle w:val="000000000000" w:firstRow="0" w:lastRow="0" w:firstColumn="0" w:lastColumn="0" w:oddVBand="0" w:evenVBand="0" w:oddHBand="0" w:evenHBand="0" w:firstRowFirstColumn="0" w:firstRowLastColumn="0" w:lastRowFirstColumn="0" w:lastRowLastColumn="0"/>
              <w:rPr>
                <w:sz w:val="16"/>
                <w:szCs w:val="16"/>
              </w:rPr>
            </w:pPr>
            <w:r w:rsidRPr="00EE48CE">
              <w:rPr>
                <w:sz w:val="16"/>
                <w:szCs w:val="16"/>
              </w:rPr>
              <w:t>Active participation in RMO projects</w:t>
            </w:r>
          </w:p>
          <w:p w14:paraId="33664883" w14:textId="77777777" w:rsidR="00B31080" w:rsidRDefault="00B31080" w:rsidP="00B31080">
            <w:pPr>
              <w:pStyle w:val="Paragraphedeliste"/>
              <w:numPr>
                <w:ilvl w:val="0"/>
                <w:numId w:val="1"/>
              </w:numPr>
              <w:spacing w:after="12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w:t>
            </w:r>
            <w:r w:rsidRPr="00EE48CE">
              <w:rPr>
                <w:sz w:val="16"/>
                <w:szCs w:val="16"/>
              </w:rPr>
              <w:t>ther available knowledge and experience</w:t>
            </w:r>
          </w:p>
          <w:p w14:paraId="75F88588" w14:textId="77777777" w:rsidR="00B31080" w:rsidRPr="00EE48CE" w:rsidRDefault="00B31080" w:rsidP="00B31080">
            <w:pPr>
              <w:spacing w:after="12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It was also noted that: “</w:t>
            </w:r>
            <w:r w:rsidRPr="00EE48CE">
              <w:rPr>
                <w:sz w:val="16"/>
                <w:szCs w:val="16"/>
              </w:rPr>
              <w:t xml:space="preserve">For CMCs in ionizing radiation measurements, particularly considering the logistical complications sometimes inherent in transporting radioactive materials across borders, </w:t>
            </w:r>
            <w:proofErr w:type="gramStart"/>
            <w:r w:rsidRPr="00EE48CE">
              <w:rPr>
                <w:sz w:val="16"/>
                <w:szCs w:val="16"/>
              </w:rPr>
              <w:t>all of</w:t>
            </w:r>
            <w:proofErr w:type="gramEnd"/>
            <w:r w:rsidRPr="00EE48CE">
              <w:rPr>
                <w:sz w:val="16"/>
                <w:szCs w:val="16"/>
              </w:rPr>
              <w:t xml:space="preserve"> the permissible mechanisms to support claims are a crucial component in enabling institutions to support not only their CMC claims, but also to fulfill their metrological responsibility for precise and controlled measurements. Preparers of CMCs are reminded of the need to provide supportive evidence accessible to the reviewers </w:t>
            </w:r>
            <w:proofErr w:type="gramStart"/>
            <w:r w:rsidRPr="00EE48CE">
              <w:rPr>
                <w:sz w:val="16"/>
                <w:szCs w:val="16"/>
              </w:rPr>
              <w:t>in order to</w:t>
            </w:r>
            <w:proofErr w:type="gramEnd"/>
            <w:r w:rsidRPr="00EE48CE">
              <w:rPr>
                <w:sz w:val="16"/>
                <w:szCs w:val="16"/>
              </w:rPr>
              <w:t xml:space="preserve"> facilitate the review process.</w:t>
            </w:r>
            <w:r>
              <w:rPr>
                <w:sz w:val="16"/>
                <w:szCs w:val="16"/>
              </w:rPr>
              <w:t>”</w:t>
            </w:r>
          </w:p>
          <w:p w14:paraId="5A27983C"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p>
          <w:p w14:paraId="3C0809F1"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p>
          <w:p w14:paraId="123325A0"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p>
        </w:tc>
      </w:tr>
      <w:tr w:rsidR="00B31080" w14:paraId="5C65FBAE" w14:textId="77777777" w:rsidTr="00B31080">
        <w:tc>
          <w:tcPr>
            <w:cnfStyle w:val="001000000000" w:firstRow="0" w:lastRow="0" w:firstColumn="1" w:lastColumn="0" w:oddVBand="0" w:evenVBand="0" w:oddHBand="0" w:evenHBand="0" w:firstRowFirstColumn="0" w:firstRowLastColumn="0" w:lastRowFirstColumn="0" w:lastRowLastColumn="0"/>
            <w:tcW w:w="1345" w:type="dxa"/>
          </w:tcPr>
          <w:p w14:paraId="61CBCFBA" w14:textId="77777777" w:rsidR="00B31080" w:rsidRDefault="00B31080" w:rsidP="00B31080">
            <w:r>
              <w:t>CCRI</w:t>
            </w:r>
          </w:p>
        </w:tc>
        <w:tc>
          <w:tcPr>
            <w:tcW w:w="1890" w:type="dxa"/>
          </w:tcPr>
          <w:p w14:paraId="62ED0DAD"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17 May 2015</w:t>
            </w:r>
          </w:p>
        </w:tc>
        <w:tc>
          <w:tcPr>
            <w:tcW w:w="2520" w:type="dxa"/>
          </w:tcPr>
          <w:p w14:paraId="3B329065"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Minutes – 25</w:t>
            </w:r>
            <w:r w:rsidRPr="00B5571D">
              <w:rPr>
                <w:vertAlign w:val="superscript"/>
              </w:rPr>
              <w:t>th</w:t>
            </w:r>
            <w:r>
              <w:t xml:space="preserve"> meeting</w:t>
            </w:r>
          </w:p>
        </w:tc>
        <w:tc>
          <w:tcPr>
            <w:tcW w:w="7195" w:type="dxa"/>
          </w:tcPr>
          <w:p w14:paraId="1DDA57C6"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Agreement given to a new on-going BIPM comparison BIPM.RI(I)-K9 for absorbed dose in medium energy x-rays.</w:t>
            </w:r>
          </w:p>
        </w:tc>
      </w:tr>
      <w:tr w:rsidR="00B31080" w14:paraId="352398B2" w14:textId="77777777" w:rsidTr="00B31080">
        <w:tc>
          <w:tcPr>
            <w:cnfStyle w:val="001000000000" w:firstRow="0" w:lastRow="0" w:firstColumn="1" w:lastColumn="0" w:oddVBand="0" w:evenVBand="0" w:oddHBand="0" w:evenHBand="0" w:firstRowFirstColumn="0" w:firstRowLastColumn="0" w:lastRowFirstColumn="0" w:lastRowLastColumn="0"/>
            <w:tcW w:w="1345" w:type="dxa"/>
          </w:tcPr>
          <w:p w14:paraId="4F751741" w14:textId="77777777" w:rsidR="00B31080" w:rsidRDefault="00B31080" w:rsidP="00B31080">
            <w:r>
              <w:t>CCRI</w:t>
            </w:r>
          </w:p>
        </w:tc>
        <w:tc>
          <w:tcPr>
            <w:tcW w:w="1890" w:type="dxa"/>
          </w:tcPr>
          <w:p w14:paraId="5A09F8AC"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17 May 2013</w:t>
            </w:r>
          </w:p>
        </w:tc>
        <w:tc>
          <w:tcPr>
            <w:tcW w:w="2520" w:type="dxa"/>
          </w:tcPr>
          <w:p w14:paraId="4B95B314"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Minutes – 24</w:t>
            </w:r>
            <w:r w:rsidRPr="00B5571D">
              <w:rPr>
                <w:vertAlign w:val="superscript"/>
              </w:rPr>
              <w:t>th</w:t>
            </w:r>
            <w:r>
              <w:t xml:space="preserve"> meeting</w:t>
            </w:r>
          </w:p>
        </w:tc>
        <w:tc>
          <w:tcPr>
            <w:tcW w:w="7195" w:type="dxa"/>
          </w:tcPr>
          <w:p w14:paraId="4903E2E0"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The ‘power-moderate mean’ was adopted to evaluate key comparison reference values in Section II (Radioactivity)</w:t>
            </w:r>
          </w:p>
        </w:tc>
      </w:tr>
      <w:tr w:rsidR="00B31080" w14:paraId="2F50A099" w14:textId="77777777" w:rsidTr="00B31080">
        <w:tc>
          <w:tcPr>
            <w:cnfStyle w:val="001000000000" w:firstRow="0" w:lastRow="0" w:firstColumn="1" w:lastColumn="0" w:oddVBand="0" w:evenVBand="0" w:oddHBand="0" w:evenHBand="0" w:firstRowFirstColumn="0" w:firstRowLastColumn="0" w:lastRowFirstColumn="0" w:lastRowLastColumn="0"/>
            <w:tcW w:w="1345" w:type="dxa"/>
          </w:tcPr>
          <w:p w14:paraId="31A5BF07" w14:textId="77777777" w:rsidR="00B31080" w:rsidRDefault="00B31080" w:rsidP="00B31080">
            <w:r>
              <w:t>CCRI</w:t>
            </w:r>
          </w:p>
        </w:tc>
        <w:tc>
          <w:tcPr>
            <w:tcW w:w="1890" w:type="dxa"/>
          </w:tcPr>
          <w:p w14:paraId="3E9E4BA1"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31 May 2007</w:t>
            </w:r>
          </w:p>
        </w:tc>
        <w:tc>
          <w:tcPr>
            <w:tcW w:w="2520" w:type="dxa"/>
          </w:tcPr>
          <w:p w14:paraId="59C84264"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Minutes – 20</w:t>
            </w:r>
            <w:r w:rsidRPr="007A4FF2">
              <w:rPr>
                <w:vertAlign w:val="superscript"/>
              </w:rPr>
              <w:t>th</w:t>
            </w:r>
            <w:r>
              <w:t xml:space="preserve"> meeting</w:t>
            </w:r>
          </w:p>
        </w:tc>
        <w:tc>
          <w:tcPr>
            <w:tcW w:w="7195" w:type="dxa"/>
          </w:tcPr>
          <w:p w14:paraId="72A7ED89"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 xml:space="preserve">The use of common values for nuclear decay data taken from </w:t>
            </w:r>
            <w:r w:rsidRPr="007A4FF2">
              <w:rPr>
                <w:i/>
              </w:rPr>
              <w:t xml:space="preserve">BIPM </w:t>
            </w:r>
            <w:proofErr w:type="spellStart"/>
            <w:r w:rsidRPr="007A4FF2">
              <w:rPr>
                <w:i/>
              </w:rPr>
              <w:t>Monographie</w:t>
            </w:r>
            <w:proofErr w:type="spellEnd"/>
            <w:r w:rsidRPr="007A4FF2">
              <w:rPr>
                <w:i/>
              </w:rPr>
              <w:t xml:space="preserve"> 5</w:t>
            </w:r>
            <w:r>
              <w:t xml:space="preserve"> (</w:t>
            </w:r>
            <w:proofErr w:type="spellStart"/>
            <w:r>
              <w:t>ie</w:t>
            </w:r>
            <w:proofErr w:type="spellEnd"/>
            <w:r>
              <w:t xml:space="preserve"> the Decay Data Evaluation Project) was recommended.</w:t>
            </w:r>
          </w:p>
        </w:tc>
      </w:tr>
      <w:tr w:rsidR="00B31080" w14:paraId="26B837BB" w14:textId="77777777" w:rsidTr="00B31080">
        <w:tc>
          <w:tcPr>
            <w:cnfStyle w:val="001000000000" w:firstRow="0" w:lastRow="0" w:firstColumn="1" w:lastColumn="0" w:oddVBand="0" w:evenVBand="0" w:oddHBand="0" w:evenHBand="0" w:firstRowFirstColumn="0" w:firstRowLastColumn="0" w:lastRowFirstColumn="0" w:lastRowLastColumn="0"/>
            <w:tcW w:w="1345" w:type="dxa"/>
          </w:tcPr>
          <w:p w14:paraId="432DE2ED" w14:textId="77777777" w:rsidR="00B31080" w:rsidRDefault="00B31080" w:rsidP="00B31080">
            <w:r>
              <w:t>CCRI</w:t>
            </w:r>
          </w:p>
        </w:tc>
        <w:tc>
          <w:tcPr>
            <w:tcW w:w="1890" w:type="dxa"/>
          </w:tcPr>
          <w:p w14:paraId="526773AA"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27 May 2005</w:t>
            </w:r>
          </w:p>
        </w:tc>
        <w:tc>
          <w:tcPr>
            <w:tcW w:w="2520" w:type="dxa"/>
          </w:tcPr>
          <w:p w14:paraId="65CD2B3B"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Minutes – 19</w:t>
            </w:r>
            <w:r w:rsidRPr="005D7974">
              <w:rPr>
                <w:vertAlign w:val="superscript"/>
              </w:rPr>
              <w:t>th</w:t>
            </w:r>
            <w:r>
              <w:t xml:space="preserve"> meeting</w:t>
            </w:r>
          </w:p>
        </w:tc>
        <w:tc>
          <w:tcPr>
            <w:tcW w:w="7195" w:type="dxa"/>
          </w:tcPr>
          <w:p w14:paraId="0B00548C"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The generic groupings table (now called the Measurement Methods Matrix) would be adopted to enable the results for a comparison using one radionuclide to be accepted as evidence for CMCs of another radionuclide standardized using the same technique.</w:t>
            </w:r>
          </w:p>
        </w:tc>
      </w:tr>
      <w:tr w:rsidR="00B31080" w14:paraId="79ADEE27" w14:textId="77777777" w:rsidTr="00B31080">
        <w:tc>
          <w:tcPr>
            <w:cnfStyle w:val="001000000000" w:firstRow="0" w:lastRow="0" w:firstColumn="1" w:lastColumn="0" w:oddVBand="0" w:evenVBand="0" w:oddHBand="0" w:evenHBand="0" w:firstRowFirstColumn="0" w:firstRowLastColumn="0" w:lastRowFirstColumn="0" w:lastRowLastColumn="0"/>
            <w:tcW w:w="1345" w:type="dxa"/>
          </w:tcPr>
          <w:p w14:paraId="043ED59B" w14:textId="77777777" w:rsidR="00B31080" w:rsidRDefault="00B31080" w:rsidP="00B31080">
            <w:r>
              <w:t>CCRI</w:t>
            </w:r>
          </w:p>
        </w:tc>
        <w:tc>
          <w:tcPr>
            <w:tcW w:w="1890" w:type="dxa"/>
          </w:tcPr>
          <w:p w14:paraId="79955886"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2 June 1999</w:t>
            </w:r>
          </w:p>
        </w:tc>
        <w:tc>
          <w:tcPr>
            <w:tcW w:w="2520" w:type="dxa"/>
          </w:tcPr>
          <w:p w14:paraId="7171F5E0"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Minutes – 16</w:t>
            </w:r>
            <w:r w:rsidRPr="003278C7">
              <w:rPr>
                <w:vertAlign w:val="superscript"/>
              </w:rPr>
              <w:t>th</w:t>
            </w:r>
            <w:r>
              <w:t xml:space="preserve"> meeting</w:t>
            </w:r>
          </w:p>
        </w:tc>
        <w:tc>
          <w:tcPr>
            <w:tcW w:w="7195" w:type="dxa"/>
          </w:tcPr>
          <w:p w14:paraId="3BF2937A" w14:textId="77777777" w:rsidR="00B31080" w:rsidRDefault="00B31080" w:rsidP="00B31080">
            <w:pPr>
              <w:cnfStyle w:val="000000000000" w:firstRow="0" w:lastRow="0" w:firstColumn="0" w:lastColumn="0" w:oddVBand="0" w:evenVBand="0" w:oddHBand="0" w:evenHBand="0" w:firstRowFirstColumn="0" w:firstRowLastColumn="0" w:lastRowFirstColumn="0" w:lastRowLastColumn="0"/>
            </w:pPr>
            <w:r>
              <w:t>In radiation dosimetry:</w:t>
            </w:r>
          </w:p>
          <w:p w14:paraId="641087F5" w14:textId="77777777" w:rsidR="00B31080" w:rsidRDefault="00B31080" w:rsidP="00B31080">
            <w:pPr>
              <w:pStyle w:val="Paragraphedeliste"/>
              <w:numPr>
                <w:ilvl w:val="0"/>
                <w:numId w:val="2"/>
              </w:numPr>
              <w:cnfStyle w:val="000000000000" w:firstRow="0" w:lastRow="0" w:firstColumn="0" w:lastColumn="0" w:oddVBand="0" w:evenVBand="0" w:oddHBand="0" w:evenHBand="0" w:firstRowFirstColumn="0" w:firstRowLastColumn="0" w:lastRowFirstColumn="0" w:lastRowLastColumn="0"/>
            </w:pPr>
            <w:r>
              <w:lastRenderedPageBreak/>
              <w:t>The BIPM standards would be used as the reference value because the BIPM standards are more stable than the differences between the standards of the NMIs</w:t>
            </w:r>
          </w:p>
          <w:p w14:paraId="693CBDA2" w14:textId="77777777" w:rsidR="00B31080" w:rsidRDefault="00B31080" w:rsidP="00B31080">
            <w:pPr>
              <w:pStyle w:val="Paragraphedeliste"/>
              <w:numPr>
                <w:ilvl w:val="0"/>
                <w:numId w:val="2"/>
              </w:numPr>
              <w:cnfStyle w:val="000000000000" w:firstRow="0" w:lastRow="0" w:firstColumn="0" w:lastColumn="0" w:oddVBand="0" w:evenVBand="0" w:oddHBand="0" w:evenHBand="0" w:firstRowFirstColumn="0" w:firstRowLastColumn="0" w:lastRowFirstColumn="0" w:lastRowLastColumn="0"/>
            </w:pPr>
            <w:r>
              <w:t>Bilateral BIPM-NMI comparisons may be used as a check for equivalence</w:t>
            </w:r>
          </w:p>
          <w:p w14:paraId="5A43E4D0" w14:textId="77777777" w:rsidR="00B31080" w:rsidRDefault="00B31080" w:rsidP="00B31080">
            <w:pPr>
              <w:pStyle w:val="Paragraphedeliste"/>
              <w:numPr>
                <w:ilvl w:val="0"/>
                <w:numId w:val="2"/>
              </w:numPr>
              <w:cnfStyle w:val="000000000000" w:firstRow="0" w:lastRow="0" w:firstColumn="0" w:lastColumn="0" w:oddVBand="0" w:evenVBand="0" w:oddHBand="0" w:evenHBand="0" w:firstRowFirstColumn="0" w:firstRowLastColumn="0" w:lastRowFirstColumn="0" w:lastRowLastColumn="0"/>
            </w:pPr>
            <w:r>
              <w:t>Each NMI would compare its standards with the BIPM at least every ten years.</w:t>
            </w:r>
          </w:p>
        </w:tc>
      </w:tr>
    </w:tbl>
    <w:p w14:paraId="20965245" w14:textId="77777777" w:rsidR="007825D2" w:rsidRDefault="007825D2"/>
    <w:sectPr w:rsidR="007825D2" w:rsidSect="007825D2">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AC3B" w14:textId="77777777" w:rsidR="00A93466" w:rsidRDefault="00A93466" w:rsidP="00A93466">
      <w:pPr>
        <w:spacing w:after="0" w:line="240" w:lineRule="auto"/>
      </w:pPr>
      <w:r>
        <w:separator/>
      </w:r>
    </w:p>
  </w:endnote>
  <w:endnote w:type="continuationSeparator" w:id="0">
    <w:p w14:paraId="06AEBFCA" w14:textId="77777777" w:rsidR="00A93466" w:rsidRDefault="00A93466" w:rsidP="00A9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347088"/>
      <w:docPartObj>
        <w:docPartGallery w:val="Page Numbers (Bottom of Page)"/>
        <w:docPartUnique/>
      </w:docPartObj>
    </w:sdtPr>
    <w:sdtEndPr/>
    <w:sdtContent>
      <w:sdt>
        <w:sdtPr>
          <w:id w:val="-1705238520"/>
          <w:docPartObj>
            <w:docPartGallery w:val="Page Numbers (Top of Page)"/>
            <w:docPartUnique/>
          </w:docPartObj>
        </w:sdtPr>
        <w:sdtEndPr/>
        <w:sdtContent>
          <w:p w14:paraId="51DFD3FC" w14:textId="77777777" w:rsidR="00DF1306" w:rsidRDefault="00DF1306" w:rsidP="00DF1306">
            <w:pPr>
              <w:pStyle w:val="Pieddepage"/>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B6C1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6C14">
              <w:rPr>
                <w:b/>
                <w:bCs/>
                <w:noProof/>
              </w:rPr>
              <w:t>4</w:t>
            </w:r>
            <w:r>
              <w:rPr>
                <w:b/>
                <w:bCs/>
                <w:sz w:val="24"/>
                <w:szCs w:val="24"/>
              </w:rPr>
              <w:fldChar w:fldCharType="end"/>
            </w:r>
          </w:p>
        </w:sdtContent>
      </w:sdt>
    </w:sdtContent>
  </w:sdt>
  <w:p w14:paraId="12D43F25" w14:textId="77777777" w:rsidR="00DF1306" w:rsidRDefault="00DF13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AFE5" w14:textId="77777777" w:rsidR="00A93466" w:rsidRDefault="00A93466" w:rsidP="00A93466">
      <w:pPr>
        <w:spacing w:after="0" w:line="240" w:lineRule="auto"/>
      </w:pPr>
      <w:r>
        <w:separator/>
      </w:r>
    </w:p>
  </w:footnote>
  <w:footnote w:type="continuationSeparator" w:id="0">
    <w:p w14:paraId="0908B576" w14:textId="77777777" w:rsidR="00A93466" w:rsidRDefault="00A93466" w:rsidP="00A93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647F" w14:textId="251D8BA6" w:rsidR="00A93466" w:rsidRDefault="00455928">
    <w:pPr>
      <w:pStyle w:val="En-tte"/>
    </w:pPr>
    <w:r>
      <w:t>CCRI-D-03</w:t>
    </w:r>
    <w:r w:rsidR="00A93466">
      <w:ptab w:relativeTo="margin" w:alignment="center" w:leader="none"/>
    </w:r>
    <w:r w:rsidR="00A27906">
      <w:t xml:space="preserve">Version </w:t>
    </w:r>
    <w:r>
      <w:t>2</w:t>
    </w:r>
    <w:r w:rsidR="00A27906">
      <w:t>.0</w:t>
    </w:r>
    <w:r w:rsidR="00A93466">
      <w:ptab w:relativeTo="margin" w:alignment="right" w:leader="none"/>
    </w:r>
    <w:r>
      <w:t>18</w:t>
    </w:r>
    <w:r>
      <w:rPr>
        <w:vertAlign w:val="superscript"/>
      </w:rPr>
      <w:t>th</w:t>
    </w:r>
    <w:r w:rsidR="00A93466">
      <w:t xml:space="preserve"> October 20</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6C2F"/>
    <w:multiLevelType w:val="hybridMultilevel"/>
    <w:tmpl w:val="8724E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A4A80"/>
    <w:multiLevelType w:val="hybridMultilevel"/>
    <w:tmpl w:val="C4A8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62298">
    <w:abstractNumId w:val="1"/>
  </w:num>
  <w:num w:numId="2" w16cid:durableId="1332828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5D2"/>
    <w:rsid w:val="00052447"/>
    <w:rsid w:val="001614E1"/>
    <w:rsid w:val="00206A11"/>
    <w:rsid w:val="00234FD3"/>
    <w:rsid w:val="003278C7"/>
    <w:rsid w:val="00331821"/>
    <w:rsid w:val="00455928"/>
    <w:rsid w:val="004964A0"/>
    <w:rsid w:val="004B6C14"/>
    <w:rsid w:val="005D7974"/>
    <w:rsid w:val="007825D2"/>
    <w:rsid w:val="007A4FF2"/>
    <w:rsid w:val="00855351"/>
    <w:rsid w:val="00A27906"/>
    <w:rsid w:val="00A93466"/>
    <w:rsid w:val="00B31080"/>
    <w:rsid w:val="00B5571D"/>
    <w:rsid w:val="00B928AD"/>
    <w:rsid w:val="00C30EA5"/>
    <w:rsid w:val="00CE36D8"/>
    <w:rsid w:val="00DA0027"/>
    <w:rsid w:val="00DD088A"/>
    <w:rsid w:val="00DF1306"/>
    <w:rsid w:val="00EE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F491"/>
  <w15:chartTrackingRefBased/>
  <w15:docId w15:val="{1B288D4C-048F-4748-BFE7-7F1AC5BE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00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82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7825D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Lienhypertexte">
    <w:name w:val="Hyperlink"/>
    <w:basedOn w:val="Policepardfaut"/>
    <w:uiPriority w:val="99"/>
    <w:semiHidden/>
    <w:unhideWhenUsed/>
    <w:rsid w:val="007825D2"/>
    <w:rPr>
      <w:color w:val="0000FF"/>
      <w:u w:val="single"/>
    </w:rPr>
  </w:style>
  <w:style w:type="paragraph" w:styleId="En-tte">
    <w:name w:val="header"/>
    <w:basedOn w:val="Normal"/>
    <w:link w:val="En-tteCar"/>
    <w:uiPriority w:val="99"/>
    <w:unhideWhenUsed/>
    <w:rsid w:val="00A93466"/>
    <w:pPr>
      <w:tabs>
        <w:tab w:val="center" w:pos="4680"/>
        <w:tab w:val="right" w:pos="9360"/>
      </w:tabs>
      <w:spacing w:after="0" w:line="240" w:lineRule="auto"/>
    </w:pPr>
  </w:style>
  <w:style w:type="character" w:customStyle="1" w:styleId="En-tteCar">
    <w:name w:val="En-tête Car"/>
    <w:basedOn w:val="Policepardfaut"/>
    <w:link w:val="En-tte"/>
    <w:uiPriority w:val="99"/>
    <w:rsid w:val="00A93466"/>
  </w:style>
  <w:style w:type="paragraph" w:styleId="Pieddepage">
    <w:name w:val="footer"/>
    <w:basedOn w:val="Normal"/>
    <w:link w:val="PieddepageCar"/>
    <w:uiPriority w:val="99"/>
    <w:unhideWhenUsed/>
    <w:rsid w:val="00A9346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93466"/>
  </w:style>
  <w:style w:type="paragraph" w:styleId="Paragraphedeliste">
    <w:name w:val="List Paragraph"/>
    <w:basedOn w:val="Normal"/>
    <w:uiPriority w:val="34"/>
    <w:qFormat/>
    <w:rsid w:val="00A27906"/>
    <w:pPr>
      <w:ind w:left="720"/>
      <w:contextualSpacing/>
    </w:pPr>
  </w:style>
  <w:style w:type="character" w:customStyle="1" w:styleId="Titre1Car">
    <w:name w:val="Titre 1 Car"/>
    <w:basedOn w:val="Policepardfaut"/>
    <w:link w:val="Titre1"/>
    <w:uiPriority w:val="9"/>
    <w:rsid w:val="00DA00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7D23EDA300C94C9E6850EE47203B89" ma:contentTypeVersion="16" ma:contentTypeDescription="Create a new document." ma:contentTypeScope="" ma:versionID="8cd6b2ed03a714dd8bd53b294f475a0d">
  <xsd:schema xmlns:xsd="http://www.w3.org/2001/XMLSchema" xmlns:xs="http://www.w3.org/2001/XMLSchema" xmlns:p="http://schemas.microsoft.com/office/2006/metadata/properties" xmlns:ns2="1c3e5c20-db40-4efb-8e05-e7d5c26e8b09" xmlns:ns3="3a61cc11-17e1-41f6-8f5f-b094b110db9e" targetNamespace="http://schemas.microsoft.com/office/2006/metadata/properties" ma:root="true" ma:fieldsID="70e0bb5a7716b5ac29d6c2cc7dd28c07" ns2:_="" ns3:_="">
    <xsd:import namespace="1c3e5c20-db40-4efb-8e05-e7d5c26e8b09"/>
    <xsd:import namespace="3a61cc11-17e1-41f6-8f5f-b094b110db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e5c20-db40-4efb-8e05-e7d5c26e8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1b2218b-01ce-4b35-bb94-15f686a37b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1cc11-17e1-41f6-8f5f-b094b110db9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6784402-660f-48be-8a6f-1c901a1096ee}" ma:internalName="TaxCatchAll" ma:showField="CatchAllData" ma:web="3a61cc11-17e1-41f6-8f5f-b094b110db9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61cc11-17e1-41f6-8f5f-b094b110db9e" xsi:nil="true"/>
    <lcf76f155ced4ddcb4097134ff3c332f xmlns="1c3e5c20-db40-4efb-8e05-e7d5c26e8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3CCD05-7E44-4293-80E7-60540BA167E1}"/>
</file>

<file path=customXml/itemProps2.xml><?xml version="1.0" encoding="utf-8"?>
<ds:datastoreItem xmlns:ds="http://schemas.openxmlformats.org/officeDocument/2006/customXml" ds:itemID="{A056A12D-1165-4F67-B5C0-B6C3660D3957}"/>
</file>

<file path=customXml/itemProps3.xml><?xml version="1.0" encoding="utf-8"?>
<ds:datastoreItem xmlns:ds="http://schemas.openxmlformats.org/officeDocument/2006/customXml" ds:itemID="{39072AE7-351F-4947-AE50-001F947FBCFD}"/>
</file>

<file path=docProps/app.xml><?xml version="1.0" encoding="utf-8"?>
<Properties xmlns="http://schemas.openxmlformats.org/officeDocument/2006/extended-properties" xmlns:vt="http://schemas.openxmlformats.org/officeDocument/2006/docPropsVTypes">
  <Template>Normal.dotm</Template>
  <TotalTime>6</TotalTime>
  <Pages>5</Pages>
  <Words>1193</Words>
  <Characters>6801</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JUDGE</dc:creator>
  <cp:keywords/>
  <dc:description/>
  <cp:lastModifiedBy>Vincent GRESSIER</cp:lastModifiedBy>
  <cp:revision>3</cp:revision>
  <dcterms:created xsi:type="dcterms:W3CDTF">2023-10-18T14:32:00Z</dcterms:created>
  <dcterms:modified xsi:type="dcterms:W3CDTF">2023-10-18T14:38:00Z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0x010100117D23EDA300C94C9E6850EE47203B89</vt:lpwstr>
  </property>
</Properties>
</file>